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D6847" w14:textId="77777777" w:rsidR="008B3C01" w:rsidRDefault="00000000">
      <w:pPr>
        <w:spacing w:line="360" w:lineRule="auto"/>
      </w:pPr>
      <w:r>
        <w:rPr>
          <w:noProof/>
        </w:rPr>
        <w:drawing>
          <wp:anchor distT="0" distB="0" distL="114300" distR="114300" simplePos="0" relativeHeight="251658240" behindDoc="0" locked="0" layoutInCell="1" allowOverlap="1" wp14:anchorId="5333B1B5" wp14:editId="01354805">
            <wp:simplePos x="0" y="0"/>
            <wp:positionH relativeFrom="page">
              <wp:posOffset>12331700</wp:posOffset>
            </wp:positionH>
            <wp:positionV relativeFrom="topMargin">
              <wp:posOffset>10388600</wp:posOffset>
            </wp:positionV>
            <wp:extent cx="393700" cy="342900"/>
            <wp:effectExtent l="0" t="0" r="635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7"/>
                    <a:stretch>
                      <a:fillRect/>
                    </a:stretch>
                  </pic:blipFill>
                  <pic:spPr>
                    <a:xfrm>
                      <a:off x="0" y="0"/>
                      <a:ext cx="393700" cy="342900"/>
                    </a:xfrm>
                    <a:prstGeom prst="rect">
                      <a:avLst/>
                    </a:prstGeom>
                  </pic:spPr>
                </pic:pic>
              </a:graphicData>
            </a:graphic>
          </wp:anchor>
        </w:drawing>
      </w:r>
    </w:p>
    <w:p w14:paraId="4E062796" w14:textId="77777777" w:rsidR="008B3C01" w:rsidRDefault="008B3C01">
      <w:pPr>
        <w:spacing w:line="360" w:lineRule="auto"/>
      </w:pPr>
    </w:p>
    <w:p w14:paraId="5D297D62" w14:textId="77777777" w:rsidR="008B3C01" w:rsidRDefault="00000000">
      <w:pPr>
        <w:spacing w:line="360" w:lineRule="auto"/>
        <w:jc w:val="center"/>
      </w:pPr>
      <w:r>
        <w:rPr>
          <w:rFonts w:eastAsia="Times New Roman" w:cs="Times New Roman"/>
          <w:b/>
          <w:sz w:val="32"/>
        </w:rPr>
        <w:t>2023</w:t>
      </w:r>
      <w:r>
        <w:rPr>
          <w:rFonts w:ascii="SimSun" w:hAnsi="SimSun"/>
          <w:b/>
          <w:sz w:val="32"/>
        </w:rPr>
        <w:t>年普通高等学校招生全国统一考试</w:t>
      </w:r>
      <w:r>
        <w:rPr>
          <w:rFonts w:eastAsia="Times New Roman" w:cs="Times New Roman"/>
          <w:b/>
          <w:sz w:val="32"/>
        </w:rPr>
        <w:t>(</w:t>
      </w:r>
      <w:r>
        <w:rPr>
          <w:rFonts w:ascii="SimSun" w:hAnsi="SimSun"/>
          <w:b/>
          <w:sz w:val="32"/>
        </w:rPr>
        <w:t>新课标全国Ⅱ卷</w:t>
      </w:r>
      <w:r>
        <w:rPr>
          <w:rFonts w:eastAsia="Times New Roman" w:cs="Times New Roman"/>
          <w:b/>
          <w:sz w:val="32"/>
        </w:rPr>
        <w:t>)</w:t>
      </w:r>
    </w:p>
    <w:p w14:paraId="1BBBF4EA" w14:textId="77777777" w:rsidR="008B3C01" w:rsidRDefault="00000000">
      <w:pPr>
        <w:spacing w:line="360" w:lineRule="auto"/>
        <w:jc w:val="center"/>
      </w:pPr>
      <w:r>
        <w:rPr>
          <w:rFonts w:ascii="SimSun" w:hAnsi="SimSun"/>
          <w:b/>
          <w:sz w:val="32"/>
        </w:rPr>
        <w:t>英语学科</w:t>
      </w:r>
    </w:p>
    <w:p w14:paraId="6DBB01C9" w14:textId="77777777" w:rsidR="00B904B8" w:rsidRDefault="00B904B8">
      <w:pPr>
        <w:spacing w:line="360" w:lineRule="auto"/>
        <w:jc w:val="center"/>
        <w:textAlignment w:val="center"/>
        <w:rPr>
          <w:rFonts w:ascii="SimSun" w:hAnsi="SimSun"/>
          <w:b/>
          <w:sz w:val="24"/>
        </w:rPr>
      </w:pPr>
    </w:p>
    <w:p w14:paraId="5321B41C" w14:textId="77777777" w:rsidR="00B904B8" w:rsidRDefault="00B904B8">
      <w:pPr>
        <w:spacing w:line="360" w:lineRule="auto"/>
        <w:jc w:val="center"/>
        <w:textAlignment w:val="center"/>
        <w:rPr>
          <w:rFonts w:ascii="SimSun" w:hAnsi="SimSun"/>
          <w:b/>
          <w:sz w:val="24"/>
        </w:rPr>
      </w:pPr>
    </w:p>
    <w:p w14:paraId="6E8E7029" w14:textId="77777777" w:rsidR="00B904B8" w:rsidRDefault="00B904B8">
      <w:pPr>
        <w:spacing w:line="360" w:lineRule="auto"/>
        <w:jc w:val="center"/>
        <w:textAlignment w:val="center"/>
        <w:rPr>
          <w:rFonts w:ascii="SimSun" w:hAnsi="SimSun"/>
          <w:b/>
          <w:sz w:val="24"/>
        </w:rPr>
      </w:pPr>
    </w:p>
    <w:p w14:paraId="4CAA6D0B" w14:textId="77777777" w:rsidR="00B904B8" w:rsidRDefault="00B904B8">
      <w:pPr>
        <w:spacing w:line="360" w:lineRule="auto"/>
        <w:jc w:val="center"/>
        <w:textAlignment w:val="center"/>
        <w:rPr>
          <w:rFonts w:ascii="SimSun" w:hAnsi="SimSun"/>
          <w:b/>
          <w:sz w:val="24"/>
        </w:rPr>
      </w:pPr>
    </w:p>
    <w:p w14:paraId="6B96D24D" w14:textId="77777777" w:rsidR="00B904B8" w:rsidRDefault="00B904B8">
      <w:pPr>
        <w:spacing w:line="360" w:lineRule="auto"/>
        <w:jc w:val="center"/>
        <w:textAlignment w:val="center"/>
        <w:rPr>
          <w:rFonts w:ascii="SimSun" w:hAnsi="SimSun"/>
          <w:b/>
          <w:sz w:val="24"/>
        </w:rPr>
      </w:pPr>
    </w:p>
    <w:p w14:paraId="0BCDA54F" w14:textId="41260B93" w:rsidR="008B3C01" w:rsidRDefault="00000000">
      <w:pPr>
        <w:spacing w:line="360" w:lineRule="auto"/>
        <w:jc w:val="center"/>
        <w:textAlignment w:val="center"/>
        <w:rPr>
          <w:color w:val="000000"/>
        </w:rPr>
      </w:pPr>
      <w:r>
        <w:rPr>
          <w:rFonts w:eastAsia="Times New Roman" w:cs="Times New Roman"/>
          <w:b/>
          <w:color w:val="000000"/>
          <w:sz w:val="24"/>
        </w:rPr>
        <w:t>C</w:t>
      </w:r>
    </w:p>
    <w:p w14:paraId="6B4B7EFE" w14:textId="77777777" w:rsidR="008B3C01" w:rsidRDefault="00000000">
      <w:pPr>
        <w:spacing w:line="360" w:lineRule="auto"/>
        <w:ind w:firstLine="420"/>
        <w:jc w:val="left"/>
        <w:textAlignment w:val="center"/>
        <w:rPr>
          <w:color w:val="000000"/>
        </w:rPr>
      </w:pPr>
      <w:r>
        <w:rPr>
          <w:rFonts w:eastAsia="Times New Roman" w:cs="Times New Roman"/>
          <w:i/>
          <w:color w:val="000000"/>
        </w:rPr>
        <w:t xml:space="preserve">Reading Art: Art for Book Lovers </w:t>
      </w:r>
      <w:r>
        <w:rPr>
          <w:rFonts w:eastAsia="Times New Roman" w:cs="Times New Roman"/>
          <w:color w:val="000000"/>
        </w:rPr>
        <w:t xml:space="preserve">is a celebration of an everyday object — the book, represented here in almost three hundred artworks from museums around the world. The image of the reader appears throughout history, in art made long before books as we now know them came into being. In artists’ representations of books and reading, we see moments of shared humanity that go beyond culture and time. </w:t>
      </w:r>
    </w:p>
    <w:p w14:paraId="4A53D86C" w14:textId="77777777" w:rsidR="008B3C01" w:rsidRDefault="00000000">
      <w:pPr>
        <w:spacing w:line="360" w:lineRule="auto"/>
        <w:ind w:firstLine="420"/>
        <w:jc w:val="left"/>
        <w:textAlignment w:val="center"/>
        <w:rPr>
          <w:color w:val="000000"/>
        </w:rPr>
      </w:pPr>
      <w:r>
        <w:rPr>
          <w:rFonts w:eastAsia="Times New Roman" w:cs="Times New Roman"/>
          <w:color w:val="000000"/>
        </w:rPr>
        <w:t>In this “book of books,” artworks are selected and arranged in a way that emphasizes these connections between different eras and cultures. We see scenes of children learning to read at home or at school, with the book as a focus for relations between the generations. Adults are portrayed (</w:t>
      </w:r>
      <w:r>
        <w:rPr>
          <w:rFonts w:ascii="SimSun" w:hAnsi="SimSun"/>
          <w:color w:val="000000"/>
        </w:rPr>
        <w:t>描绘</w:t>
      </w:r>
      <w:r>
        <w:rPr>
          <w:rFonts w:eastAsia="Times New Roman" w:cs="Times New Roman"/>
          <w:color w:val="000000"/>
        </w:rPr>
        <w:t xml:space="preserve">) alone in many settings and poses —absorbed in a volume, deep in thought or lost in a moment of leisure. These scenes may have been painted hundreds of years ago, but they record moments we can all </w:t>
      </w:r>
      <w:r>
        <w:rPr>
          <w:rFonts w:eastAsia="Times New Roman" w:cs="Times New Roman"/>
          <w:color w:val="000000"/>
          <w:u w:val="single"/>
        </w:rPr>
        <w:t>relate to</w:t>
      </w:r>
      <w:r>
        <w:rPr>
          <w:rFonts w:eastAsia="Times New Roman" w:cs="Times New Roman"/>
          <w:color w:val="000000"/>
        </w:rPr>
        <w:t xml:space="preserve">. </w:t>
      </w:r>
    </w:p>
    <w:p w14:paraId="0DA294B5" w14:textId="77777777" w:rsidR="008B3C01" w:rsidRDefault="00000000">
      <w:pPr>
        <w:spacing w:line="360" w:lineRule="auto"/>
        <w:ind w:firstLine="420"/>
        <w:jc w:val="left"/>
        <w:textAlignment w:val="center"/>
        <w:rPr>
          <w:color w:val="000000"/>
        </w:rPr>
      </w:pPr>
      <w:r>
        <w:rPr>
          <w:rFonts w:eastAsia="Times New Roman" w:cs="Times New Roman"/>
          <w:color w:val="000000"/>
        </w:rPr>
        <w:t>Books themselves may be used symbolically in paintings to demonstrate the intellect (</w:t>
      </w:r>
      <w:r>
        <w:rPr>
          <w:rFonts w:ascii="SimSun" w:hAnsi="SimSun"/>
          <w:color w:val="000000"/>
        </w:rPr>
        <w:t>才智</w:t>
      </w:r>
      <w:r>
        <w:rPr>
          <w:rFonts w:eastAsia="Times New Roman" w:cs="Times New Roman"/>
          <w:color w:val="000000"/>
        </w:rPr>
        <w:t xml:space="preserve">), wealth or faith of the subject. Before the wide use of the printing press, books were treasured objects and could be works of art in their own right. More recently, as books have become inexpensive or even throwaway, artists have used them as the raw material for artworks — transforming covers, pages or even complete volumes into paintings and sculptures. </w:t>
      </w:r>
    </w:p>
    <w:p w14:paraId="312FA5B1" w14:textId="77777777" w:rsidR="008B3C01" w:rsidRDefault="00000000">
      <w:pPr>
        <w:spacing w:line="360" w:lineRule="auto"/>
        <w:ind w:firstLine="420"/>
        <w:jc w:val="left"/>
        <w:textAlignment w:val="center"/>
        <w:rPr>
          <w:color w:val="000000"/>
        </w:rPr>
      </w:pPr>
      <w:r>
        <w:rPr>
          <w:rFonts w:eastAsia="Times New Roman" w:cs="Times New Roman"/>
          <w:color w:val="000000"/>
        </w:rPr>
        <w:t>Continued developments in communication technologies were once believed to make the printed page outdated. From a 21st-century point of view, the printed book is certainly ancient, but it remains as interactive as any battery-powered e-reader. To serve its function, a book must be activated by a user: the cover opened, the pages parted, the contents reviewed, perhaps notes written down or words underlined. And in contrast to our increasingly networked lives where the information we consume is monitored and tracked, a printed book still offers the chance of a wholly private, “off-line” activity.</w:t>
      </w:r>
    </w:p>
    <w:p w14:paraId="17F173E5" w14:textId="77777777" w:rsidR="00B904B8" w:rsidRDefault="00B904B8">
      <w:pPr>
        <w:spacing w:line="360" w:lineRule="auto"/>
        <w:jc w:val="center"/>
        <w:textAlignment w:val="center"/>
        <w:rPr>
          <w:color w:val="000000"/>
        </w:rPr>
      </w:pPr>
    </w:p>
    <w:p w14:paraId="509DD8AE" w14:textId="77777777" w:rsidR="00B904B8" w:rsidRDefault="00B904B8">
      <w:pPr>
        <w:spacing w:line="360" w:lineRule="auto"/>
        <w:jc w:val="center"/>
        <w:textAlignment w:val="center"/>
        <w:rPr>
          <w:color w:val="000000"/>
        </w:rPr>
      </w:pPr>
    </w:p>
    <w:p w14:paraId="3EE3B192" w14:textId="77777777" w:rsidR="00B904B8" w:rsidRDefault="00B904B8">
      <w:pPr>
        <w:spacing w:line="360" w:lineRule="auto"/>
        <w:jc w:val="center"/>
        <w:textAlignment w:val="center"/>
        <w:rPr>
          <w:color w:val="000000"/>
        </w:rPr>
      </w:pPr>
    </w:p>
    <w:p w14:paraId="29312506" w14:textId="77777777" w:rsidR="00B904B8" w:rsidRDefault="00B904B8">
      <w:pPr>
        <w:spacing w:line="360" w:lineRule="auto"/>
        <w:jc w:val="center"/>
        <w:textAlignment w:val="center"/>
        <w:rPr>
          <w:color w:val="000000"/>
        </w:rPr>
      </w:pPr>
    </w:p>
    <w:p w14:paraId="2FE17320" w14:textId="77777777" w:rsidR="00B904B8" w:rsidRDefault="00B904B8">
      <w:pPr>
        <w:spacing w:line="360" w:lineRule="auto"/>
        <w:jc w:val="center"/>
        <w:textAlignment w:val="center"/>
        <w:rPr>
          <w:color w:val="000000"/>
        </w:rPr>
      </w:pPr>
    </w:p>
    <w:p w14:paraId="6443962C" w14:textId="77777777" w:rsidR="00B904B8" w:rsidRDefault="00B904B8">
      <w:pPr>
        <w:spacing w:line="360" w:lineRule="auto"/>
        <w:jc w:val="center"/>
        <w:textAlignment w:val="center"/>
        <w:rPr>
          <w:color w:val="000000"/>
        </w:rPr>
      </w:pPr>
    </w:p>
    <w:p w14:paraId="5CCB8395" w14:textId="77777777" w:rsidR="00B904B8" w:rsidRDefault="00B904B8">
      <w:pPr>
        <w:spacing w:line="360" w:lineRule="auto"/>
        <w:jc w:val="center"/>
        <w:textAlignment w:val="center"/>
        <w:rPr>
          <w:color w:val="000000"/>
        </w:rPr>
      </w:pPr>
    </w:p>
    <w:p w14:paraId="02162076" w14:textId="0FE4EFAD" w:rsidR="008B3C01" w:rsidRDefault="00000000">
      <w:pPr>
        <w:spacing w:line="360" w:lineRule="auto"/>
        <w:jc w:val="center"/>
        <w:textAlignment w:val="center"/>
        <w:rPr>
          <w:color w:val="000000"/>
        </w:rPr>
      </w:pPr>
      <w:r>
        <w:rPr>
          <w:rFonts w:eastAsia="Times New Roman" w:cs="Times New Roman"/>
          <w:b/>
          <w:color w:val="000000"/>
          <w:sz w:val="24"/>
        </w:rPr>
        <w:t>D</w:t>
      </w:r>
    </w:p>
    <w:p w14:paraId="25E801E5" w14:textId="77777777" w:rsidR="008B3C01" w:rsidRDefault="00000000">
      <w:pPr>
        <w:spacing w:line="360" w:lineRule="auto"/>
        <w:ind w:firstLine="420"/>
        <w:jc w:val="left"/>
        <w:textAlignment w:val="center"/>
        <w:rPr>
          <w:color w:val="000000"/>
        </w:rPr>
      </w:pPr>
      <w:r>
        <w:rPr>
          <w:rFonts w:eastAsia="Times New Roman" w:cs="Times New Roman"/>
          <w:color w:val="000000"/>
        </w:rPr>
        <w:t xml:space="preserve">As cities balloon with growth, access to nature for people living in urban areas is becoming harder to find. If you’re lucky, there might be a pocket park near where you live, but it’s unusual to find places in a city that are relatively wild. </w:t>
      </w:r>
    </w:p>
    <w:p w14:paraId="509D7C6B" w14:textId="77777777" w:rsidR="008B3C01" w:rsidRDefault="00000000">
      <w:pPr>
        <w:spacing w:line="360" w:lineRule="auto"/>
        <w:ind w:firstLine="420"/>
        <w:jc w:val="left"/>
        <w:textAlignment w:val="center"/>
        <w:rPr>
          <w:color w:val="000000"/>
        </w:rPr>
      </w:pPr>
      <w:r>
        <w:rPr>
          <w:rFonts w:eastAsia="Times New Roman" w:cs="Times New Roman"/>
          <w:color w:val="000000"/>
        </w:rPr>
        <w:t xml:space="preserve">Past research has found health and wellness benefits of nature for humans, but a new study shows that wildness in urban areas is extremely important for human well-being. </w:t>
      </w:r>
    </w:p>
    <w:p w14:paraId="44BAF7A0" w14:textId="77777777" w:rsidR="008B3C01" w:rsidRDefault="00000000">
      <w:pPr>
        <w:spacing w:line="360" w:lineRule="auto"/>
        <w:ind w:firstLine="420"/>
        <w:jc w:val="left"/>
        <w:textAlignment w:val="center"/>
        <w:rPr>
          <w:color w:val="000000"/>
        </w:rPr>
      </w:pPr>
      <w:r>
        <w:rPr>
          <w:rFonts w:eastAsia="Times New Roman" w:cs="Times New Roman"/>
          <w:color w:val="000000"/>
        </w:rPr>
        <w:t>The research team focused on a large urban park. They surveyed several hundred park-goers, asking them to submit a written summary online of a meaningful interaction they had with nature in the park. The researchers then examined these submissions, coding (</w:t>
      </w:r>
      <w:r>
        <w:rPr>
          <w:rFonts w:ascii="SimSun" w:hAnsi="SimSun"/>
          <w:color w:val="000000"/>
        </w:rPr>
        <w:t>编码</w:t>
      </w:r>
      <w:r>
        <w:rPr>
          <w:rFonts w:eastAsia="Times New Roman" w:cs="Times New Roman"/>
          <w:color w:val="000000"/>
        </w:rPr>
        <w:t>) experiences into different categories. For example, one participant’s experience of “</w:t>
      </w:r>
      <w:r>
        <w:rPr>
          <w:rFonts w:eastAsia="Times New Roman" w:cs="Times New Roman"/>
          <w:i/>
          <w:color w:val="000000"/>
        </w:rPr>
        <w:t>We sat and listened to the waves at the beach for a while</w:t>
      </w:r>
      <w:r>
        <w:rPr>
          <w:color w:val="000000"/>
        </w:rPr>
        <w:t>”</w:t>
      </w:r>
      <w:r>
        <w:rPr>
          <w:rFonts w:eastAsia="Times New Roman" w:cs="Times New Roman"/>
          <w:color w:val="000000"/>
        </w:rPr>
        <w:t xml:space="preserve"> was assigned the categories “sitting at beach” and “listening to waves.”</w:t>
      </w:r>
    </w:p>
    <w:p w14:paraId="53BA9E66" w14:textId="77777777" w:rsidR="008B3C01" w:rsidRDefault="00000000">
      <w:pPr>
        <w:spacing w:line="360" w:lineRule="auto"/>
        <w:ind w:firstLine="420"/>
        <w:jc w:val="left"/>
        <w:textAlignment w:val="center"/>
        <w:rPr>
          <w:color w:val="000000"/>
        </w:rPr>
      </w:pPr>
      <w:r>
        <w:rPr>
          <w:rFonts w:eastAsia="Times New Roman" w:cs="Times New Roman"/>
          <w:color w:val="000000"/>
        </w:rPr>
        <w:t xml:space="preserve">Across the 320 submissions, a pattern of categories the researchers call a “nature language” began to emerge. After the coding of all submissions, half a dozen categories were noted most often as important to visitors. These include encountering wildlife, walking along the edge of water, and following an established trail. </w:t>
      </w:r>
    </w:p>
    <w:p w14:paraId="395B90C3" w14:textId="77777777" w:rsidR="008B3C01" w:rsidRDefault="00000000">
      <w:pPr>
        <w:spacing w:line="360" w:lineRule="auto"/>
        <w:ind w:firstLine="420"/>
        <w:jc w:val="left"/>
        <w:textAlignment w:val="center"/>
        <w:rPr>
          <w:color w:val="000000"/>
        </w:rPr>
      </w:pPr>
      <w:r>
        <w:rPr>
          <w:rFonts w:eastAsia="Times New Roman" w:cs="Times New Roman"/>
          <w:color w:val="000000"/>
        </w:rPr>
        <w:t xml:space="preserve">Naming each nature experience creates a usable language, which helps people recognize and take part in the activities that are most satisfying and meaningful to them. For example, the experience of walking along the edge of water might be satisfying for a young professional on a weekend hike in the park. Back downtown during a workday, they can enjoy a more domestic form of this interaction by walking along a fountain on their lunch break. </w:t>
      </w:r>
    </w:p>
    <w:p w14:paraId="08CD5D4A" w14:textId="77777777" w:rsidR="008B3C01" w:rsidRDefault="00000000">
      <w:pPr>
        <w:spacing w:line="360" w:lineRule="auto"/>
        <w:ind w:firstLine="420"/>
        <w:jc w:val="left"/>
        <w:textAlignment w:val="center"/>
        <w:rPr>
          <w:color w:val="000000"/>
        </w:rPr>
      </w:pPr>
      <w:r>
        <w:rPr>
          <w:rFonts w:eastAsia="Times New Roman" w:cs="Times New Roman"/>
          <w:color w:val="000000"/>
        </w:rPr>
        <w:t>“We’re trying to generate a language that helps bring the human-nature interactions back into our daily lives. And for that to happen, we also need to protect nature so that we can interact with it,” said Peter Kahn, a senior author of the study.</w:t>
      </w:r>
    </w:p>
    <w:p w14:paraId="09532252" w14:textId="77777777" w:rsidR="00B904B8" w:rsidRDefault="00B904B8">
      <w:pPr>
        <w:spacing w:line="360" w:lineRule="auto"/>
        <w:jc w:val="left"/>
        <w:textAlignment w:val="center"/>
        <w:rPr>
          <w:color w:val="000000"/>
        </w:rPr>
      </w:pPr>
    </w:p>
    <w:p w14:paraId="0E9DB4F4" w14:textId="77777777" w:rsidR="008B3C01" w:rsidRDefault="008B3C01">
      <w:pPr>
        <w:rPr>
          <w:color w:val="000000"/>
        </w:rPr>
      </w:pPr>
    </w:p>
    <w:p w14:paraId="027F638C" w14:textId="77777777" w:rsidR="00B904B8" w:rsidRDefault="00B904B8">
      <w:pPr>
        <w:rPr>
          <w:color w:val="000000"/>
        </w:rPr>
      </w:pPr>
    </w:p>
    <w:p w14:paraId="5400D487" w14:textId="77777777" w:rsidR="00B904B8" w:rsidRDefault="00B904B8">
      <w:pPr>
        <w:rPr>
          <w:color w:val="000000"/>
        </w:rPr>
      </w:pPr>
    </w:p>
    <w:p w14:paraId="2082B7AB" w14:textId="77777777" w:rsidR="00B904B8" w:rsidRDefault="00B904B8">
      <w:pPr>
        <w:rPr>
          <w:color w:val="000000"/>
        </w:rPr>
      </w:pPr>
    </w:p>
    <w:p w14:paraId="3946D372" w14:textId="77777777" w:rsidR="00B904B8" w:rsidRDefault="00B904B8"/>
    <w:sectPr w:rsidR="00B904B8">
      <w:footerReference w:type="default" r:id="rId8"/>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8A07A" w14:textId="77777777" w:rsidR="00DB3272" w:rsidRDefault="00DB3272">
      <w:r>
        <w:separator/>
      </w:r>
    </w:p>
  </w:endnote>
  <w:endnote w:type="continuationSeparator" w:id="0">
    <w:p w14:paraId="76A04FC0" w14:textId="77777777" w:rsidR="00DB3272" w:rsidRDefault="00DB3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579EF" w14:textId="2EC25416" w:rsidR="008B3C01" w:rsidRDefault="00000000">
    <w:pPr>
      <w:jc w:val="center"/>
      <w:rPr>
        <w:sz w:val="20"/>
      </w:rPr>
    </w:pPr>
    <w:r>
      <w:rPr>
        <w:sz w:val="20"/>
      </w:rPr>
      <w:t>第</w:t>
    </w:r>
    <w:r>
      <w:rPr>
        <w:sz w:val="20"/>
      </w:rPr>
      <w:fldChar w:fldCharType="begin"/>
    </w:r>
    <w:r>
      <w:rPr>
        <w:sz w:val="20"/>
      </w:rPr>
      <w:instrText xml:space="preserve"> PAGE </w:instrText>
    </w:r>
    <w:r>
      <w:rPr>
        <w:sz w:val="20"/>
      </w:rPr>
      <w:fldChar w:fldCharType="separate"/>
    </w:r>
    <w:r w:rsidR="00B904B8">
      <w:rPr>
        <w:noProof/>
        <w:sz w:val="20"/>
      </w:rPr>
      <w:t>13</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sidR="00B904B8">
      <w:rPr>
        <w:noProof/>
        <w:sz w:val="20"/>
      </w:rPr>
      <w:t>13</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10A8D" w14:textId="77777777" w:rsidR="00DB3272" w:rsidRDefault="00DB3272">
      <w:r>
        <w:separator/>
      </w:r>
    </w:p>
  </w:footnote>
  <w:footnote w:type="continuationSeparator" w:id="0">
    <w:p w14:paraId="768FA0FB" w14:textId="77777777" w:rsidR="00DB3272" w:rsidRDefault="00DB327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B21A4"/>
    <w:rsid w:val="006D5DE9"/>
    <w:rsid w:val="006F45E0"/>
    <w:rsid w:val="00701D6B"/>
    <w:rsid w:val="007061B2"/>
    <w:rsid w:val="00740A09"/>
    <w:rsid w:val="00762E26"/>
    <w:rsid w:val="00767F31"/>
    <w:rsid w:val="00817391"/>
    <w:rsid w:val="00832EC9"/>
    <w:rsid w:val="008634CD"/>
    <w:rsid w:val="008731FA"/>
    <w:rsid w:val="00880A38"/>
    <w:rsid w:val="00893DD6"/>
    <w:rsid w:val="008B3C01"/>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04B8"/>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B3272"/>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E7933A0"/>
    <w:rsid w:val="38274566"/>
    <w:rsid w:val="67F14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DA25EB"/>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eastAsia="SimSu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Header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HeaderChar">
    <w:name w:val="Header Char"/>
    <w:basedOn w:val="DefaultParagraphFont"/>
    <w:link w:val="Header"/>
    <w:uiPriority w:val="99"/>
    <w:qFormat/>
    <w:rPr>
      <w:kern w:val="2"/>
      <w:sz w:val="18"/>
      <w:szCs w:val="24"/>
    </w:rPr>
  </w:style>
  <w:style w:type="paragraph" w:styleId="NoSpacing">
    <w:name w:val="No Spacing"/>
    <w:uiPriority w:val="1"/>
    <w:qFormat/>
    <w:rPr>
      <w:rFonts w:asciiTheme="minorHAnsi" w:eastAsia="Microsoft YaHei UI" w:hAnsiTheme="minorHAnsi" w:cstheme="minorBidi"/>
      <w:sz w:val="22"/>
      <w:szCs w:val="22"/>
    </w:rPr>
  </w:style>
  <w:style w:type="paragraph" w:styleId="ListParagraph">
    <w:name w:val="List Paragraph"/>
    <w:basedOn w:val="Normal"/>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586</Words>
  <Characters>3343</Characters>
  <Application>Microsoft Office Word</Application>
  <DocSecurity>0</DocSecurity>
  <Lines>27</Lines>
  <Paragraphs>7</Paragraphs>
  <ScaleCrop>false</ScaleCrop>
  <Manager>康伟旗舰店 kangwei.tmall.com</Manager>
  <Company>康伟旗舰店 kangwei.tmall.com</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2026-10-01T02:07:00Z</dcterms:created>
  <dcterms:modified xsi:type="dcterms:W3CDTF">2026-10-01T02:08:00Z</dcterms:modified>
  <cp:category>康伟旗舰店 kangwei.tmall.com</cp:category>
</cp:coreProperties>
</file>