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CCD1E0" w14:textId="77777777" w:rsidR="00FC5860" w:rsidRPr="00BE1BCD" w:rsidRDefault="00000000">
      <w:pPr>
        <w:spacing w:line="360" w:lineRule="auto"/>
        <w:jc w:val="center"/>
      </w:pPr>
      <w:r>
        <w:rPr>
          <w:rFonts w:eastAsia="Times New Roman" w:cs="Times New Roman"/>
          <w:b/>
          <w:noProof/>
          <w:sz w:val="32"/>
        </w:rPr>
        <w:drawing>
          <wp:anchor distT="0" distB="0" distL="114300" distR="114300" simplePos="0" relativeHeight="251658240" behindDoc="0" locked="0" layoutInCell="1" allowOverlap="1" wp14:anchorId="33C75A39" wp14:editId="01DCFE6C">
            <wp:simplePos x="0" y="0"/>
            <wp:positionH relativeFrom="page">
              <wp:posOffset>10693400</wp:posOffset>
            </wp:positionH>
            <wp:positionV relativeFrom="topMargin">
              <wp:posOffset>11188700</wp:posOffset>
            </wp:positionV>
            <wp:extent cx="393700" cy="266700"/>
            <wp:effectExtent l="0" t="0" r="0" b="0"/>
            <wp:wrapNone/>
            <wp:docPr id="100016" name="Picture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
                    <pic:cNvPicPr>
                      <a:picLocks noChangeAspect="1"/>
                    </pic:cNvPicPr>
                  </pic:nvPicPr>
                  <pic:blipFill>
                    <a:blip r:embed="rId8"/>
                    <a:stretch>
                      <a:fillRect/>
                    </a:stretch>
                  </pic:blipFill>
                  <pic:spPr>
                    <a:xfrm>
                      <a:off x="0" y="0"/>
                      <a:ext cx="393700" cy="266700"/>
                    </a:xfrm>
                    <a:prstGeom prst="rect">
                      <a:avLst/>
                    </a:prstGeom>
                  </pic:spPr>
                </pic:pic>
              </a:graphicData>
            </a:graphic>
          </wp:anchor>
        </w:drawing>
      </w:r>
      <w:r>
        <w:rPr>
          <w:rFonts w:eastAsia="Times New Roman" w:cs="Times New Roman"/>
          <w:b/>
          <w:sz w:val="32"/>
        </w:rPr>
        <w:t>2024</w:t>
      </w:r>
      <w:r>
        <w:rPr>
          <w:rFonts w:ascii="SimSun" w:hAnsi="SimSun"/>
          <w:b/>
          <w:sz w:val="32"/>
        </w:rPr>
        <w:t>年普通高等学校招生高考真题全国统一考试</w:t>
      </w:r>
      <w:r>
        <w:rPr>
          <w:rFonts w:eastAsia="Times New Roman" w:cs="Times New Roman"/>
          <w:b/>
          <w:sz w:val="32"/>
        </w:rPr>
        <w:t>(</w:t>
      </w:r>
      <w:r>
        <w:rPr>
          <w:rFonts w:ascii="SimSun" w:hAnsi="SimSun"/>
          <w:b/>
          <w:sz w:val="32"/>
        </w:rPr>
        <w:t>北京卷</w:t>
      </w:r>
      <w:r>
        <w:rPr>
          <w:rFonts w:eastAsia="Times New Roman" w:cs="Times New Roman"/>
          <w:b/>
          <w:sz w:val="32"/>
        </w:rPr>
        <w:t>)</w:t>
      </w:r>
    </w:p>
    <w:p w14:paraId="16FD4CFF" w14:textId="77777777" w:rsidR="004931FE" w:rsidRDefault="004931FE">
      <w:pPr>
        <w:spacing w:line="360" w:lineRule="auto"/>
        <w:jc w:val="center"/>
        <w:textAlignment w:val="center"/>
        <w:rPr>
          <w:rFonts w:ascii="SimSun" w:hAnsi="SimSun"/>
          <w:b/>
          <w:sz w:val="32"/>
        </w:rPr>
      </w:pPr>
    </w:p>
    <w:p w14:paraId="66731F9A" w14:textId="2989653B" w:rsidR="0008109A" w:rsidRDefault="00000000">
      <w:pPr>
        <w:spacing w:line="360" w:lineRule="auto"/>
        <w:jc w:val="center"/>
        <w:textAlignment w:val="center"/>
        <w:rPr>
          <w:color w:val="000000"/>
        </w:rPr>
      </w:pPr>
      <w:r>
        <w:rPr>
          <w:rFonts w:eastAsia="Times New Roman" w:cs="Times New Roman"/>
          <w:b/>
          <w:color w:val="000000"/>
          <w:sz w:val="24"/>
        </w:rPr>
        <w:t>C</w:t>
      </w:r>
    </w:p>
    <w:p w14:paraId="69904F21" w14:textId="77777777" w:rsidR="0008109A" w:rsidRDefault="00000000">
      <w:pPr>
        <w:spacing w:line="360" w:lineRule="auto"/>
        <w:ind w:firstLine="420"/>
        <w:jc w:val="left"/>
        <w:textAlignment w:val="center"/>
        <w:rPr>
          <w:color w:val="000000"/>
        </w:rPr>
      </w:pPr>
      <w:r>
        <w:rPr>
          <w:color w:val="000000"/>
        </w:rPr>
        <w:t>The notion that we live in someone else’s video game is irresistible to many. Searching the term “simulation hypothesis” (</w:t>
      </w:r>
      <w:r>
        <w:rPr>
          <w:rFonts w:ascii="SimSun" w:hAnsi="SimSun"/>
          <w:color w:val="000000"/>
        </w:rPr>
        <w:t>模拟假说</w:t>
      </w:r>
      <w:r>
        <w:rPr>
          <w:color w:val="000000"/>
        </w:rPr>
        <w:t>) returns numerous results that debate whether the universe is a computer simulation — a concept that some scientists actually take seriously. Unfortunately, this is not a scientific question. We will probably never know whether it’s true. We can, instead, use this idea to advance scientific knowledge.</w:t>
      </w:r>
    </w:p>
    <w:p w14:paraId="60388C50" w14:textId="77777777" w:rsidR="0008109A" w:rsidRDefault="00000000">
      <w:pPr>
        <w:spacing w:line="360" w:lineRule="auto"/>
        <w:ind w:firstLine="420"/>
        <w:jc w:val="left"/>
        <w:textAlignment w:val="center"/>
        <w:rPr>
          <w:color w:val="000000"/>
        </w:rPr>
      </w:pPr>
      <w:r>
        <w:rPr>
          <w:rFonts w:eastAsia="Times New Roman" w:cs="Times New Roman"/>
          <w:color w:val="000000"/>
        </w:rPr>
        <w:t>The 18th-century philosopher Kant argued that the universe ultimately consists of things-in-themselves that are unknowable. While he held the notion that objective reality exists, he said our mind plays a necessary role in structuring and shaping our perceptions. Modern sciences have revealed that our perceptual experience of the world is the result of many stages of processing by sensory systems and cognitive (</w:t>
      </w:r>
      <w:r>
        <w:rPr>
          <w:rFonts w:ascii="SimSun" w:hAnsi="SimSun"/>
          <w:color w:val="000000"/>
        </w:rPr>
        <w:t>认知的</w:t>
      </w:r>
      <w:r>
        <w:rPr>
          <w:rFonts w:eastAsia="Times New Roman" w:cs="Times New Roman"/>
          <w:color w:val="000000"/>
        </w:rPr>
        <w:t>) functions in the brain. No one knows exactly what happens within this black box. If empirical (</w:t>
      </w:r>
      <w:r>
        <w:rPr>
          <w:rFonts w:ascii="SimSun" w:hAnsi="SimSun"/>
          <w:color w:val="000000"/>
        </w:rPr>
        <w:t>实证的</w:t>
      </w:r>
      <w:r>
        <w:rPr>
          <w:rFonts w:eastAsia="Times New Roman" w:cs="Times New Roman"/>
          <w:color w:val="000000"/>
        </w:rPr>
        <w:t xml:space="preserve">) experience fails to reveal reality, reasoning won’t reveal reality either since it relies on concepts and words that are </w:t>
      </w:r>
      <w:r>
        <w:rPr>
          <w:rFonts w:eastAsia="Times New Roman" w:cs="Times New Roman"/>
          <w:color w:val="000000"/>
          <w:u w:val="single"/>
        </w:rPr>
        <w:t>contingent on</w:t>
      </w:r>
      <w:r>
        <w:rPr>
          <w:rFonts w:eastAsia="Times New Roman" w:cs="Times New Roman"/>
          <w:color w:val="000000"/>
        </w:rPr>
        <w:t xml:space="preserve"> our social, cultural and psychological histories. Again, a black box. </w:t>
      </w:r>
    </w:p>
    <w:p w14:paraId="746BC568" w14:textId="77777777" w:rsidR="0008109A" w:rsidRDefault="00000000">
      <w:pPr>
        <w:spacing w:line="360" w:lineRule="auto"/>
        <w:ind w:firstLine="420"/>
        <w:jc w:val="left"/>
        <w:textAlignment w:val="center"/>
        <w:rPr>
          <w:color w:val="000000"/>
        </w:rPr>
      </w:pPr>
      <w:r>
        <w:rPr>
          <w:rFonts w:eastAsia="Times New Roman" w:cs="Times New Roman"/>
          <w:color w:val="000000"/>
        </w:rPr>
        <w:t>So, if we accept that the universe is unknowable, we also accept we will never know if we live in a computer simulation. And then, we can shift our inquiry from “Is the universe a computer simulation?” to “Can we model the universe as a computer simulation? ” Modelling reality is what we do. To facilitate our comprehension of the world, we build models based on conceptual metaphors (</w:t>
      </w:r>
      <w:r>
        <w:rPr>
          <w:rFonts w:ascii="SimSun" w:hAnsi="SimSun"/>
          <w:color w:val="000000"/>
        </w:rPr>
        <w:t>隐喻</w:t>
      </w:r>
      <w:r>
        <w:rPr>
          <w:rFonts w:eastAsia="Times New Roman" w:cs="Times New Roman"/>
          <w:color w:val="000000"/>
        </w:rPr>
        <w:t>) that are familiar to us. In Newton’s era, we imagined the universe as a clock. In Einstein’s, we uncovered the standard model of particle (</w:t>
      </w:r>
      <w:r>
        <w:rPr>
          <w:rFonts w:ascii="SimSun" w:hAnsi="SimSun"/>
          <w:color w:val="000000"/>
        </w:rPr>
        <w:t>粒子</w:t>
      </w:r>
      <w:r>
        <w:rPr>
          <w:rFonts w:eastAsia="Times New Roman" w:cs="Times New Roman"/>
          <w:color w:val="000000"/>
        </w:rPr>
        <w:t xml:space="preserve">) physics. </w:t>
      </w:r>
    </w:p>
    <w:p w14:paraId="658119A5" w14:textId="77777777" w:rsidR="0008109A" w:rsidRDefault="00000000">
      <w:pPr>
        <w:spacing w:line="360" w:lineRule="auto"/>
        <w:ind w:firstLine="420"/>
        <w:jc w:val="left"/>
        <w:textAlignment w:val="center"/>
        <w:rPr>
          <w:color w:val="000000"/>
        </w:rPr>
      </w:pPr>
      <w:r>
        <w:rPr>
          <w:rFonts w:eastAsia="Times New Roman" w:cs="Times New Roman"/>
          <w:color w:val="000000"/>
        </w:rPr>
        <w:t xml:space="preserve">Now that we are in the information age, we have new concepts such as the computer, information processing, virtual reality, and simulation. Unsurprisingly, these new concepts inspire us to build new models of the universe. Models are not the reality, however. There is no point in arguing if the universe is a clock, a set of particles or an output of computation. All these models are tools to deal with the unknown and to make discoveries. And the more tools we have, the more effective and insightful we can become. </w:t>
      </w:r>
    </w:p>
    <w:p w14:paraId="24C1BA51" w14:textId="77777777" w:rsidR="0008109A" w:rsidRDefault="00000000">
      <w:pPr>
        <w:spacing w:line="360" w:lineRule="auto"/>
        <w:ind w:firstLine="420"/>
        <w:jc w:val="left"/>
        <w:textAlignment w:val="center"/>
        <w:rPr>
          <w:color w:val="000000"/>
        </w:rPr>
      </w:pPr>
      <w:r>
        <w:rPr>
          <w:rFonts w:eastAsia="Times New Roman" w:cs="Times New Roman"/>
          <w:color w:val="000000"/>
        </w:rPr>
        <w:t>It can be imagined that comparable to the process of building previous scientific models, developing the “computer simulation” metaphor-based model will also be a hugely rewarding exercise.</w:t>
      </w:r>
    </w:p>
    <w:p w14:paraId="4E70EAE3" w14:textId="77777777" w:rsidR="004931FE" w:rsidRDefault="004931FE">
      <w:pPr>
        <w:spacing w:line="360" w:lineRule="auto"/>
        <w:jc w:val="center"/>
        <w:textAlignment w:val="center"/>
        <w:rPr>
          <w:color w:val="000000"/>
        </w:rPr>
      </w:pPr>
    </w:p>
    <w:p w14:paraId="790CC70C" w14:textId="77777777" w:rsidR="004931FE" w:rsidRDefault="004931FE">
      <w:pPr>
        <w:spacing w:line="360" w:lineRule="auto"/>
        <w:jc w:val="center"/>
        <w:textAlignment w:val="center"/>
        <w:rPr>
          <w:color w:val="000000"/>
        </w:rPr>
      </w:pPr>
    </w:p>
    <w:p w14:paraId="15C3555E" w14:textId="77777777" w:rsidR="004931FE" w:rsidRDefault="004931FE">
      <w:pPr>
        <w:spacing w:line="360" w:lineRule="auto"/>
        <w:jc w:val="center"/>
        <w:textAlignment w:val="center"/>
        <w:rPr>
          <w:color w:val="000000"/>
        </w:rPr>
      </w:pPr>
    </w:p>
    <w:p w14:paraId="28276785" w14:textId="77777777" w:rsidR="004931FE" w:rsidRDefault="004931FE">
      <w:pPr>
        <w:spacing w:line="360" w:lineRule="auto"/>
        <w:jc w:val="center"/>
        <w:textAlignment w:val="center"/>
        <w:rPr>
          <w:color w:val="000000"/>
        </w:rPr>
      </w:pPr>
    </w:p>
    <w:p w14:paraId="460063BF" w14:textId="77777777" w:rsidR="004931FE" w:rsidRDefault="004931FE">
      <w:pPr>
        <w:spacing w:line="360" w:lineRule="auto"/>
        <w:jc w:val="center"/>
        <w:textAlignment w:val="center"/>
        <w:rPr>
          <w:color w:val="000000"/>
        </w:rPr>
      </w:pPr>
    </w:p>
    <w:p w14:paraId="3ECBC3DF" w14:textId="77777777" w:rsidR="004931FE" w:rsidRDefault="004931FE">
      <w:pPr>
        <w:spacing w:line="360" w:lineRule="auto"/>
        <w:jc w:val="center"/>
        <w:textAlignment w:val="center"/>
        <w:rPr>
          <w:color w:val="000000"/>
        </w:rPr>
      </w:pPr>
    </w:p>
    <w:p w14:paraId="10EDC40E" w14:textId="77777777" w:rsidR="004931FE" w:rsidRDefault="004931FE">
      <w:pPr>
        <w:spacing w:line="360" w:lineRule="auto"/>
        <w:jc w:val="center"/>
        <w:textAlignment w:val="center"/>
        <w:rPr>
          <w:color w:val="000000"/>
        </w:rPr>
      </w:pPr>
    </w:p>
    <w:p w14:paraId="57C7ADD1" w14:textId="2A260DD7" w:rsidR="0008109A" w:rsidRDefault="00000000">
      <w:pPr>
        <w:spacing w:line="360" w:lineRule="auto"/>
        <w:jc w:val="center"/>
        <w:textAlignment w:val="center"/>
        <w:rPr>
          <w:color w:val="000000"/>
        </w:rPr>
      </w:pPr>
      <w:r>
        <w:rPr>
          <w:rFonts w:eastAsia="Times New Roman" w:cs="Times New Roman"/>
          <w:b/>
          <w:color w:val="000000"/>
          <w:sz w:val="24"/>
        </w:rPr>
        <w:t>D</w:t>
      </w:r>
    </w:p>
    <w:p w14:paraId="22641BC5" w14:textId="77777777" w:rsidR="0008109A" w:rsidRDefault="00000000">
      <w:pPr>
        <w:spacing w:line="360" w:lineRule="auto"/>
        <w:ind w:firstLine="420"/>
        <w:jc w:val="left"/>
        <w:textAlignment w:val="center"/>
        <w:rPr>
          <w:color w:val="000000"/>
        </w:rPr>
      </w:pPr>
      <w:r>
        <w:rPr>
          <w:color w:val="000000"/>
        </w:rPr>
        <w:t>Franz Boas’s description of Inuit (</w:t>
      </w:r>
      <w:r>
        <w:rPr>
          <w:rFonts w:ascii="SimSun" w:hAnsi="SimSun"/>
          <w:color w:val="000000"/>
        </w:rPr>
        <w:t>因纽特人</w:t>
      </w:r>
      <w:r>
        <w:rPr>
          <w:color w:val="000000"/>
        </w:rPr>
        <w:t>) life in the 19th century illustrates the probable moral code of early humans. Here, norms (</w:t>
      </w:r>
      <w:r>
        <w:rPr>
          <w:rFonts w:ascii="SimSun" w:hAnsi="SimSun"/>
          <w:color w:val="000000"/>
        </w:rPr>
        <w:t>规范</w:t>
      </w:r>
      <w:r>
        <w:rPr>
          <w:color w:val="000000"/>
        </w:rPr>
        <w:t>) were unwritten and rarely expressed clearly, but were well understood and taken to heart. Dishonest and violent behaviours were disapproved of; leadership, marriage and interactions with other groups were loosely governed by traditions. Conflict was often resolved in musical battles. Because arguing angrily leads to chaos, it was strongly discouraged. With life in the unforgiving Northern Canada being so demanding, the Inuit’s practical approach to morality made good sense.</w:t>
      </w:r>
      <w:r>
        <w:rPr>
          <w:rFonts w:eastAsia="Times New Roman" w:cs="Times New Roman"/>
          <w:color w:val="000000"/>
        </w:rPr>
        <w:t xml:space="preserve"> </w:t>
      </w:r>
    </w:p>
    <w:p w14:paraId="758A1D2B" w14:textId="77777777" w:rsidR="0008109A" w:rsidRDefault="00000000">
      <w:pPr>
        <w:spacing w:line="360" w:lineRule="auto"/>
        <w:ind w:firstLine="420"/>
        <w:jc w:val="left"/>
        <w:textAlignment w:val="center"/>
        <w:rPr>
          <w:color w:val="000000"/>
        </w:rPr>
      </w:pPr>
      <w:r>
        <w:rPr>
          <w:color w:val="000000"/>
        </w:rPr>
        <w:t>The similarity of moral virtues across cultures is striking, even though the relative ranking of the virtues may vary with a social group’s history and environment. Typically, cruelty and cheating are discouraged, while cooperation, humbleness and courage are praised. These universal norms far pre-date the concept of any moralising religion or written law. Instead, they are rooted in the similarity of basic human needs and our shared mechanisms for learning and problem solving. Our social instincts (</w:t>
      </w:r>
      <w:r>
        <w:rPr>
          <w:rFonts w:ascii="SimSun" w:hAnsi="SimSun"/>
          <w:color w:val="000000"/>
        </w:rPr>
        <w:t>本能</w:t>
      </w:r>
      <w:r>
        <w:rPr>
          <w:color w:val="000000"/>
        </w:rPr>
        <w:t>) include the intense desire to belong. The approval of others is rewarding, while their disapproval is strongly disliked. These social emotions prepare our brains to shape our behaviour according to the norms and values of our family and our community. More generally, social instincts motivate us to learn how to behave in a socially complex world.</w:t>
      </w:r>
    </w:p>
    <w:p w14:paraId="4E8DFB33" w14:textId="77777777" w:rsidR="0008109A" w:rsidRDefault="00000000">
      <w:pPr>
        <w:spacing w:line="360" w:lineRule="auto"/>
        <w:ind w:firstLine="420"/>
        <w:jc w:val="left"/>
        <w:textAlignment w:val="center"/>
        <w:rPr>
          <w:color w:val="000000"/>
        </w:rPr>
      </w:pPr>
      <w:r>
        <w:rPr>
          <w:color w:val="000000"/>
        </w:rPr>
        <w:t>The mechanism involves a repurposed reward system originally used to develop habits important for self-care. Our brains use the system to acquire behavioural patterns regarding safe routes home, efficient food gathering and dangers to avoid. Good habits save time, energy and sometimes your life. Good social habits do something similar in a social context. We learn to tell the truth, even when lying is self-serving; we help a grandparent even when it is inconvenient. We acquire what we call a sense of right and wrong.</w:t>
      </w:r>
    </w:p>
    <w:p w14:paraId="37EAA1AE" w14:textId="77777777" w:rsidR="0008109A" w:rsidRDefault="00000000">
      <w:pPr>
        <w:spacing w:line="360" w:lineRule="auto"/>
        <w:ind w:firstLine="420"/>
        <w:jc w:val="left"/>
        <w:textAlignment w:val="center"/>
        <w:rPr>
          <w:color w:val="000000"/>
        </w:rPr>
      </w:pPr>
      <w:r>
        <w:rPr>
          <w:color w:val="000000"/>
        </w:rPr>
        <w:t>Social benefits are accompanied by social demands: we must get along, but not put up with too much. Hence self-discipline is advantageous. In humans, a greatly enlarged brain boosts self-control, just as it boosts problem-solving skills in the social as well as the physical world. These abilities are strengthened by our capacity for language, which allows social practices to develop in extremely unobvious ways.</w:t>
      </w:r>
    </w:p>
    <w:p w14:paraId="5E29D2EF" w14:textId="0C87037D" w:rsidR="0008109A" w:rsidRDefault="0008109A">
      <w:pPr>
        <w:spacing w:line="360" w:lineRule="auto"/>
        <w:jc w:val="left"/>
        <w:textAlignment w:val="center"/>
        <w:rPr>
          <w:color w:val="000000"/>
        </w:rPr>
      </w:pPr>
    </w:p>
    <w:p w14:paraId="5F686FAC" w14:textId="77777777" w:rsidR="004931FE" w:rsidRDefault="004931FE">
      <w:pPr>
        <w:spacing w:line="360" w:lineRule="auto"/>
        <w:jc w:val="left"/>
        <w:textAlignment w:val="center"/>
        <w:rPr>
          <w:color w:val="000000"/>
        </w:rPr>
      </w:pPr>
    </w:p>
    <w:p w14:paraId="084683A8" w14:textId="77777777" w:rsidR="004931FE" w:rsidRDefault="004931FE">
      <w:pPr>
        <w:spacing w:line="360" w:lineRule="auto"/>
        <w:jc w:val="left"/>
        <w:textAlignment w:val="center"/>
        <w:rPr>
          <w:color w:val="000000"/>
        </w:rPr>
      </w:pPr>
    </w:p>
    <w:p w14:paraId="60705C55" w14:textId="77777777" w:rsidR="004931FE" w:rsidRDefault="004931FE">
      <w:pPr>
        <w:spacing w:line="360" w:lineRule="auto"/>
        <w:jc w:val="left"/>
        <w:textAlignment w:val="center"/>
        <w:rPr>
          <w:color w:val="000000"/>
        </w:rPr>
      </w:pPr>
    </w:p>
    <w:p w14:paraId="0FA2A11B" w14:textId="77777777" w:rsidR="004931FE" w:rsidRDefault="004931FE">
      <w:pPr>
        <w:spacing w:line="360" w:lineRule="auto"/>
        <w:jc w:val="left"/>
        <w:textAlignment w:val="center"/>
        <w:rPr>
          <w:color w:val="000000"/>
        </w:rPr>
      </w:pPr>
    </w:p>
    <w:p w14:paraId="63DDC523" w14:textId="77777777" w:rsidR="004931FE" w:rsidRDefault="004931FE">
      <w:pPr>
        <w:spacing w:line="360" w:lineRule="auto"/>
        <w:jc w:val="left"/>
        <w:textAlignment w:val="center"/>
        <w:rPr>
          <w:color w:val="000000"/>
        </w:rPr>
      </w:pPr>
    </w:p>
    <w:p w14:paraId="41875F38" w14:textId="77777777" w:rsidR="004931FE" w:rsidRDefault="004931FE">
      <w:pPr>
        <w:spacing w:line="360" w:lineRule="auto"/>
        <w:jc w:val="left"/>
        <w:textAlignment w:val="center"/>
        <w:rPr>
          <w:color w:val="000000"/>
        </w:rPr>
      </w:pPr>
    </w:p>
    <w:p w14:paraId="5F9CAC09" w14:textId="77777777" w:rsidR="004931FE" w:rsidRDefault="004931FE">
      <w:pPr>
        <w:spacing w:line="360" w:lineRule="auto"/>
        <w:jc w:val="left"/>
        <w:textAlignment w:val="center"/>
        <w:rPr>
          <w:color w:val="000000"/>
        </w:rPr>
      </w:pPr>
    </w:p>
    <w:p w14:paraId="058E00F5" w14:textId="77777777" w:rsidR="0008109A" w:rsidRDefault="0008109A">
      <w:pPr>
        <w:spacing w:line="360" w:lineRule="auto"/>
        <w:textAlignment w:val="center"/>
        <w:rPr>
          <w:color w:val="000000"/>
        </w:rPr>
      </w:pPr>
    </w:p>
    <w:sectPr w:rsidR="0008109A" w:rsidSect="00C321EB">
      <w:footerReference w:type="default" r:id="rId9"/>
      <w:pgSz w:w="11906" w:h="16838"/>
      <w:pgMar w:top="910" w:right="1080" w:bottom="1440" w:left="1080" w:header="152" w:footer="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85FAB0" w14:textId="77777777" w:rsidR="00927E16" w:rsidRDefault="00927E16">
      <w:r>
        <w:separator/>
      </w:r>
    </w:p>
  </w:endnote>
  <w:endnote w:type="continuationSeparator" w:id="0">
    <w:p w14:paraId="404444B4" w14:textId="77777777" w:rsidR="00927E16" w:rsidRDefault="00927E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6A0C56" w14:textId="77777777" w:rsidR="0090278E" w:rsidRDefault="00000000" w:rsidP="0090278E">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14:paraId="4F67FB8F" w14:textId="77777777" w:rsidR="0090278E" w:rsidRDefault="0090278E">
    <w:pPr>
      <w:pStyle w:val="Footer"/>
    </w:pPr>
  </w:p>
  <w:p w14:paraId="632A7F41" w14:textId="77777777" w:rsidR="004151FC" w:rsidRDefault="00000000">
    <w:pPr>
      <w:tabs>
        <w:tab w:val="center" w:pos="4153"/>
        <w:tab w:val="right" w:pos="8306"/>
      </w:tabs>
      <w:snapToGrid w:val="0"/>
      <w:jc w:val="left"/>
      <w:rPr>
        <w:rFonts w:cs="Times New Roman"/>
        <w:kern w:val="0"/>
        <w:sz w:val="2"/>
        <w:szCs w:val="2"/>
      </w:rPr>
    </w:pPr>
    <w:r>
      <w:rPr>
        <w:color w:val="FFFFFF"/>
        <w:sz w:val="2"/>
        <w:szCs w:val="2"/>
      </w:rPr>
      <w:pict w14:anchorId="47FCC49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3073" type="#_x0000_t136" alt="学科网 zxxk.com" style="position:absolute;margin-left:158.95pt;margin-top:407.9pt;width:2.85pt;height:2.85pt;rotation:315;z-index:-251658240;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470F60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3074" type="#_x0000_t75" alt="学科网 zxxk.com" style="position:absolute;margin-left:64.05pt;margin-top:-20.75pt;width:.05pt;height:.05pt;z-index:251659264">
          <v:imagedata r:id="rId1" o:title="{75232B38-A165-1FB7-499C-2E1C792CACB5}"/>
        </v:shape>
      </w:pict>
    </w:r>
    <w:r>
      <w:rPr>
        <w:rFonts w:cs="Times New Roman" w:hint="eastAsia"/>
        <w:color w:val="FFFFFF"/>
        <w:kern w:val="0"/>
        <w:sz w:val="2"/>
        <w:szCs w:val="2"/>
      </w:rPr>
      <w:t>学科网（北京）股份有限公司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382F5E" w14:textId="77777777" w:rsidR="00927E16" w:rsidRDefault="00927E16">
      <w:r>
        <w:separator/>
      </w:r>
    </w:p>
  </w:footnote>
  <w:footnote w:type="continuationSeparator" w:id="0">
    <w:p w14:paraId="1F7E9BFA" w14:textId="77777777" w:rsidR="00927E16" w:rsidRDefault="00927E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F473A"/>
    <w:multiLevelType w:val="hybridMultilevel"/>
    <w:tmpl w:val="8312AF28"/>
    <w:lvl w:ilvl="0" w:tplc="F2D8FA02">
      <w:start w:val="1"/>
      <w:numFmt w:val="bullet"/>
      <w:lvlText w:val=""/>
      <w:lvlJc w:val="left"/>
      <w:pPr>
        <w:ind w:left="420" w:hanging="420"/>
      </w:pPr>
      <w:rPr>
        <w:rFonts w:ascii="Wingdings" w:hAnsi="Wingdings" w:hint="default"/>
      </w:rPr>
    </w:lvl>
    <w:lvl w:ilvl="1" w:tplc="B6F0A5D0" w:tentative="1">
      <w:start w:val="1"/>
      <w:numFmt w:val="bullet"/>
      <w:lvlText w:val=""/>
      <w:lvlJc w:val="left"/>
      <w:pPr>
        <w:ind w:left="840" w:hanging="420"/>
      </w:pPr>
      <w:rPr>
        <w:rFonts w:ascii="Wingdings" w:hAnsi="Wingdings" w:hint="default"/>
      </w:rPr>
    </w:lvl>
    <w:lvl w:ilvl="2" w:tplc="C7D84898" w:tentative="1">
      <w:start w:val="1"/>
      <w:numFmt w:val="bullet"/>
      <w:lvlText w:val=""/>
      <w:lvlJc w:val="left"/>
      <w:pPr>
        <w:ind w:left="1260" w:hanging="420"/>
      </w:pPr>
      <w:rPr>
        <w:rFonts w:ascii="Wingdings" w:hAnsi="Wingdings" w:hint="default"/>
      </w:rPr>
    </w:lvl>
    <w:lvl w:ilvl="3" w:tplc="7F30ED34" w:tentative="1">
      <w:start w:val="1"/>
      <w:numFmt w:val="bullet"/>
      <w:lvlText w:val=""/>
      <w:lvlJc w:val="left"/>
      <w:pPr>
        <w:ind w:left="1680" w:hanging="420"/>
      </w:pPr>
      <w:rPr>
        <w:rFonts w:ascii="Wingdings" w:hAnsi="Wingdings" w:hint="default"/>
      </w:rPr>
    </w:lvl>
    <w:lvl w:ilvl="4" w:tplc="71C4F258" w:tentative="1">
      <w:start w:val="1"/>
      <w:numFmt w:val="bullet"/>
      <w:lvlText w:val=""/>
      <w:lvlJc w:val="left"/>
      <w:pPr>
        <w:ind w:left="2100" w:hanging="420"/>
      </w:pPr>
      <w:rPr>
        <w:rFonts w:ascii="Wingdings" w:hAnsi="Wingdings" w:hint="default"/>
      </w:rPr>
    </w:lvl>
    <w:lvl w:ilvl="5" w:tplc="E0547CD4" w:tentative="1">
      <w:start w:val="1"/>
      <w:numFmt w:val="bullet"/>
      <w:lvlText w:val=""/>
      <w:lvlJc w:val="left"/>
      <w:pPr>
        <w:ind w:left="2520" w:hanging="420"/>
      </w:pPr>
      <w:rPr>
        <w:rFonts w:ascii="Wingdings" w:hAnsi="Wingdings" w:hint="default"/>
      </w:rPr>
    </w:lvl>
    <w:lvl w:ilvl="6" w:tplc="74DA6CEA" w:tentative="1">
      <w:start w:val="1"/>
      <w:numFmt w:val="bullet"/>
      <w:lvlText w:val=""/>
      <w:lvlJc w:val="left"/>
      <w:pPr>
        <w:ind w:left="2940" w:hanging="420"/>
      </w:pPr>
      <w:rPr>
        <w:rFonts w:ascii="Wingdings" w:hAnsi="Wingdings" w:hint="default"/>
      </w:rPr>
    </w:lvl>
    <w:lvl w:ilvl="7" w:tplc="A5C28C9E" w:tentative="1">
      <w:start w:val="1"/>
      <w:numFmt w:val="bullet"/>
      <w:lvlText w:val=""/>
      <w:lvlJc w:val="left"/>
      <w:pPr>
        <w:ind w:left="3360" w:hanging="420"/>
      </w:pPr>
      <w:rPr>
        <w:rFonts w:ascii="Wingdings" w:hAnsi="Wingdings" w:hint="default"/>
      </w:rPr>
    </w:lvl>
    <w:lvl w:ilvl="8" w:tplc="1BFC0642" w:tentative="1">
      <w:start w:val="1"/>
      <w:numFmt w:val="bullet"/>
      <w:lvlText w:val=""/>
      <w:lvlJc w:val="left"/>
      <w:pPr>
        <w:ind w:left="3780" w:hanging="420"/>
      </w:pPr>
      <w:rPr>
        <w:rFonts w:ascii="Wingdings" w:hAnsi="Wingdings" w:hint="default"/>
      </w:rPr>
    </w:lvl>
  </w:abstractNum>
  <w:num w:numId="1" w16cid:durableId="372654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3075"/>
    <o:shapelayout v:ext="edit">
      <o:idmap v:ext="edit" data="1,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8109A"/>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931FE"/>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B21A4"/>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27E16"/>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5"/>
    <o:shapelayout v:ext="edit">
      <o:idmap v:ext="edit" data="2"/>
    </o:shapelayout>
  </w:shapeDefaults>
  <w:decimalSymbol w:val="."/>
  <w:listSeparator w:val=","/>
  <w14:docId w14:val="653033D4"/>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SimSun"/>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HeaderChar">
    <w:name w:val="Header Char"/>
    <w:basedOn w:val="DefaultParagraphFont"/>
    <w:link w:val="Header"/>
    <w:uiPriority w:val="99"/>
    <w:rsid w:val="003102DB"/>
    <w:rPr>
      <w:kern w:val="2"/>
      <w:sz w:val="18"/>
      <w:szCs w:val="24"/>
    </w:rPr>
  </w:style>
  <w:style w:type="paragraph" w:styleId="NoSpacing">
    <w:name w:val="No Spacing"/>
    <w:uiPriority w:val="1"/>
    <w:qFormat/>
    <w:rsid w:val="003102DB"/>
    <w:rPr>
      <w:rFonts w:asciiTheme="minorHAnsi" w:eastAsia="Microsoft YaHei U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727</Words>
  <Characters>4145</Characters>
  <Application>Microsoft Office Word</Application>
  <DocSecurity>0</DocSecurity>
  <Lines>34</Lines>
  <Paragraphs>9</Paragraphs>
  <ScaleCrop>false</ScaleCrop>
  <Manager>康伟旗舰店 kangwei.tmall.com</Manager>
  <Company>康伟旗舰店 kangwei.tmall.com</Company>
  <LinksUpToDate>false</LinksUpToDate>
  <CharactersWithSpaces>4863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康伟旗舰店 kangwei.tmall.com</dc:title>
  <dc:subject>康伟旗舰店 kangwei.tmall.com</dc:subject>
  <dc:creator>康伟旗舰店 kangwei.tmall.com</dc:creator>
  <cp:keywords>康伟旗舰店 kangwei.tmall.com</cp:keywords>
  <dc:description>康伟旗舰店 kangwei.tmall.com</dc:description>
  <cp:lastModifiedBy>666 666</cp:lastModifiedBy>
  <cp:revision>2</cp:revision>
  <dcterms:created xsi:type="dcterms:W3CDTF">2026-10-01T01:52:00Z</dcterms:created>
  <dcterms:modified xsi:type="dcterms:W3CDTF">2026-10-01T01:53:00Z</dcterms:modified>
  <cp:category>康伟旗舰店 kangwei.tmall.com</cp:category>
</cp:coreProperties>
</file>