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t xml:space="preserve">All Day Bike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004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sz w:val="21"/>
          <w:szCs w:val="21"/>
          <w:rtl w:val="0"/>
        </w:rPr>
        <w:t xml:space="preserve">To develop a dashboard for All Day Bike which showcases key performance metrics to support data-driven decision making.</w:t>
      </w:r>
    </w:p>
    <w:p w:rsidR="00000000" w:rsidDel="00000000" w:rsidP="00000000" w:rsidRDefault="00000000" w:rsidRPr="00000000" w14:paraId="00000005">
      <w:pPr>
        <w:pStyle w:val="Heading2"/>
        <w:spacing w:before="100" w:line="342.85714285714283" w:lineRule="auto"/>
        <w:rPr/>
      </w:pPr>
      <w:bookmarkStart w:colFirst="0" w:colLast="0" w:name="_heading=h.8q4b8vlfszq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bookmarkStart w:colFirst="0" w:colLast="0" w:name="_heading=h.fje86ewfju6f" w:id="1"/>
      <w:bookmarkEnd w:id="1"/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User Requirement: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040"/>
            <w:gridCol w:w="5040"/>
            <w:tblGridChange w:id="0">
              <w:tblGrid>
                <w:gridCol w:w="5040"/>
                <w:gridCol w:w="50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Use Cases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Dashboard Criteria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Hourly Revenue Analysis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Using company colour and theme.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Profit and Revenue Trend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User-friendly and easy to navigate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Seasonal Revenue Insight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Rider Demographic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DM Sans" w:cs="DM Sans" w:eastAsia="DM Sans" w:hAnsi="DM Sans"/>
                    <w:sz w:val="21"/>
                    <w:szCs w:val="21"/>
                    <w:rtl w:val="0"/>
                  </w:rPr>
                  <w:t xml:space="preserve">Final Report (recommendation)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rFonts w:ascii="DM Sans" w:cs="DM Sans" w:eastAsia="DM Sans" w:hAnsi="DM Sans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gathering/searching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for the relevant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any irrelevant information, altering the tables.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Containing the relevant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Suggesting recommendations.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5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Containing the relevant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Suggesting recommendations. 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F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Data cleaning and preparation.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10/2/2025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11/2/2025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1"/>
                <w:szCs w:val="21"/>
                <w:rtl w:val="0"/>
              </w:rPr>
              <w:t xml:space="preserve">12/2/2025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</w:p>
    <w:p w:rsidR="00000000" w:rsidDel="00000000" w:rsidP="00000000" w:rsidRDefault="00000000" w:rsidRPr="00000000" w14:paraId="0000003E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sz w:val="21"/>
          <w:szCs w:val="21"/>
          <w:rtl w:val="0"/>
        </w:rPr>
        <w:t xml:space="preserve">12/2/2025</w:t>
      </w:r>
    </w:p>
    <w:p w:rsidR="00000000" w:rsidDel="00000000" w:rsidP="00000000" w:rsidRDefault="00000000" w:rsidRPr="00000000" w14:paraId="0000003F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All Day Bike Dashboard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DRpl3TIkd5Mee8KqRlxDt53dmA==">CgMxLjAaHwoBMBIaChgICVIUChJ0YWJsZS54NWx0bTdiZGd0OGoyDmguOHE0Yjh2bGZzenFsMg5oLmZqZTg2ZXdmanU2ZjgAciExQWlSSF9VY3RkMUZIOUJ0WkhDazlTeE55a2hlS2Ytbms=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