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bookmarkStart w:id="0" w:name="_GoBack"/>
      <w:bookmarkEnd w:id="0"/>
      <w:r>
        <w:rPr>
          <w:rFonts w:ascii="Times Roman" w:hAnsi="Times Roman"/>
          <w:b/>
          <w:bCs/>
          <w:sz w:val="28"/>
          <w:szCs w:val="28"/>
        </w:rPr>
        <w:t>Эндоскопия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</w:t>
      </w:r>
      <w:r>
        <w:rPr>
          <w:rFonts w:ascii="Times Roman" w:hAnsi="Times Roman"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  <w:u w:color="497CAA"/>
        </w:rPr>
      </w:pPr>
      <w:r>
        <w:rPr>
          <w:rFonts w:ascii="Times Roman" w:hAnsi="Times Roman"/>
          <w:b/>
          <w:bCs/>
          <w:color w:val="497CAA"/>
          <w:u w:color="497CAA"/>
        </w:rPr>
        <w:t>Диагностика и лечение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Видеогастродуоденоскопия </w:t>
      </w:r>
      <w:r>
        <w:rPr>
          <w:rFonts w:ascii="Times Roman" w:hAnsi="Times Roman"/>
          <w:b/>
          <w:bCs/>
          <w:sz w:val="28"/>
          <w:szCs w:val="28"/>
        </w:rPr>
        <w:t>(</w:t>
      </w:r>
      <w:r>
        <w:rPr>
          <w:rFonts w:ascii="Times Roman" w:hAnsi="Times Roman"/>
          <w:b/>
          <w:bCs/>
          <w:sz w:val="28"/>
          <w:szCs w:val="28"/>
        </w:rPr>
        <w:t>ФГДС</w:t>
      </w:r>
      <w:r>
        <w:rPr>
          <w:rFonts w:ascii="Times Roman" w:hAnsi="Times Roman"/>
          <w:b/>
          <w:bCs/>
          <w:sz w:val="28"/>
          <w:szCs w:val="28"/>
        </w:rPr>
        <w:t>)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>Проводится под седацией и без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ФГДС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фиброгастродуоденоскопия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— это эндоскопическое исследование пищевода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желудка и двенадцатиперстной кишки с помощью гибкой </w:t>
      </w:r>
      <w:r>
        <w:rPr>
          <w:rFonts w:ascii="Times Roman" w:hAnsi="Times Roman"/>
        </w:rPr>
        <w:t>видеокамеры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Видеоформат позволяет врачу видеть изображение на экране в высоком разрешении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значительно повышает точность диагностики</w:t>
      </w:r>
      <w:r>
        <w:rPr>
          <w:rFonts w:ascii="Times Roman" w:hAnsi="Times Roman"/>
        </w:rPr>
        <w:t>.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информативность и визуализация слизистой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выявления гастрита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язв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опухолей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эрозий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При необходимости — взятие биопсии и проведение лечебных манипуляций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Возможность прохождения процедуры под медикаментозным сном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седацией</w:t>
      </w:r>
      <w:r>
        <w:rPr>
          <w:rFonts w:ascii="Times Roman" w:hAnsi="Times Roman"/>
        </w:rPr>
        <w:t xml:space="preserve">), </w:t>
      </w:r>
      <w:r>
        <w:rPr>
          <w:rFonts w:ascii="Times Roman" w:hAnsi="Times Roman"/>
        </w:rPr>
        <w:t>без боли и дискомфорта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Боли в желудке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изжога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тошнота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язвенную болезнь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гастрит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рефлюкс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</w:t>
      </w:r>
      <w:r>
        <w:rPr>
          <w:rFonts w:ascii="Times Roman" w:hAnsi="Times Roman"/>
        </w:rPr>
        <w:t>иагностика новообразований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заболевания ЖКТ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сердечно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легочные состояния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Тяжелая форма гипертонии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Аллергия на препараты седации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при седации</w:t>
      </w:r>
      <w:r>
        <w:rPr>
          <w:rFonts w:ascii="Times Roman" w:hAnsi="Times Roman"/>
        </w:rPr>
        <w:t>)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Комплексные чекапы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Федорова Гузалия Наилевна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Юлдашев Фарход </w:t>
      </w:r>
      <w:r>
        <w:rPr>
          <w:rFonts w:ascii="Times Roman" w:hAnsi="Times Roman"/>
        </w:rPr>
        <w:t>Талибович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Хамматов Дамир Рафкатович</w:t>
      </w:r>
    </w:p>
    <w:p w:rsidR="008E6C9E" w:rsidRDefault="008E6C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8E6C9E" w:rsidRDefault="008E6C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Видеоколоноскопия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>Проводится под седацией и без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Колоноскопия — это обследование толстого кишечника с помощью гибкого видеозонда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которое позволяет детально оценить состояние слизистой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выявить воспаления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полипы и </w:t>
      </w:r>
      <w:r>
        <w:rPr>
          <w:rFonts w:ascii="Times Roman" w:hAnsi="Times Roman"/>
        </w:rPr>
        <w:t>другие патологии</w:t>
      </w:r>
      <w:r>
        <w:rPr>
          <w:rFonts w:ascii="Times Roman" w:hAnsi="Times Roman"/>
        </w:rPr>
        <w:t>.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Обнаружение даже минимальных изменений на ранней стадии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удаления полипов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взятия биопсии сразу во время процедуры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рака кишечника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Безболезненное прохождение процедуры под седацией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</w:t>
      </w:r>
      <w:r>
        <w:rPr>
          <w:rFonts w:ascii="Times Roman" w:hAnsi="Times Roman"/>
        </w:rPr>
        <w:t xml:space="preserve"> стула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вздутие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боли в животе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Скрытая кровь в кале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Наследственная предрасположенность к полипам или онкологии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Контроль после ранее обнаруженных заболеваний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 в кишечнике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Кишечные кровотечения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Тяжёлое общее со</w:t>
      </w:r>
      <w:r>
        <w:rPr>
          <w:rFonts w:ascii="Times Roman" w:hAnsi="Times Roman"/>
        </w:rPr>
        <w:t>стояние пациента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Комплексные чекапы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Федорова Гузалия Наилевна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Юлдашев Фарход Талибович</w:t>
      </w:r>
      <w:r>
        <w:rPr>
          <w:rFonts w:ascii="Times Roman" w:hAnsi="Times Roman"/>
        </w:rPr>
        <w:t xml:space="preserve"> 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Хамматов Дамир Рафкатович</w:t>
      </w:r>
    </w:p>
    <w:p w:rsidR="008E6C9E" w:rsidRDefault="008E6C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Сигмоскопия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>Проводится под седацией и без нее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lastRenderedPageBreak/>
        <w:t>Что это за процедура</w:t>
      </w:r>
      <w:r>
        <w:rPr>
          <w:rFonts w:ascii="Times Roman" w:hAnsi="Times Roman"/>
          <w:b/>
          <w:bCs/>
        </w:rPr>
        <w:t>:</w:t>
      </w:r>
      <w:r>
        <w:rPr>
          <w:rFonts w:ascii="Times Roman" w:eastAsia="Times Roman" w:hAnsi="Times Roman" w:cs="Times Roman"/>
        </w:rPr>
        <w:br/>
      </w:r>
      <w:r>
        <w:rPr>
          <w:rFonts w:ascii="Times Roman" w:eastAsia="Times Roman" w:hAnsi="Times Roman" w:cs="Times Roman"/>
        </w:rPr>
        <w:t xml:space="preserve">Сигмоскопия — это эндоскопическое исследование дистального отдела толстой кишки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прямая и сигмовидная кишка</w:t>
      </w:r>
      <w:r>
        <w:rPr>
          <w:rFonts w:ascii="Times Roman" w:hAnsi="Times Roman"/>
        </w:rPr>
        <w:t xml:space="preserve">). </w:t>
      </w:r>
      <w:r>
        <w:rPr>
          <w:rFonts w:ascii="Times Roman" w:hAnsi="Times Roman"/>
        </w:rPr>
        <w:t>Это менее объемное обследование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чем колоноскопия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но также позволяет выявить важные патологии</w:t>
      </w:r>
      <w:r>
        <w:rPr>
          <w:rFonts w:ascii="Times Roman" w:hAnsi="Times Roman"/>
        </w:rPr>
        <w:t>.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Быстрое обследование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 xml:space="preserve">до </w:t>
      </w:r>
      <w:r>
        <w:rPr>
          <w:rFonts w:ascii="Times Roman" w:hAnsi="Times Roman"/>
        </w:rPr>
        <w:t xml:space="preserve">15 </w:t>
      </w:r>
      <w:r>
        <w:rPr>
          <w:rFonts w:ascii="Times Roman" w:hAnsi="Times Roman"/>
        </w:rPr>
        <w:t>минут</w:t>
      </w:r>
      <w:r>
        <w:rPr>
          <w:rFonts w:ascii="Times Roman" w:hAnsi="Times Roman"/>
        </w:rPr>
        <w:t>)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</w:t>
      </w:r>
      <w:r>
        <w:rPr>
          <w:rFonts w:ascii="Times Roman" w:hAnsi="Times Roman"/>
        </w:rPr>
        <w:t>ффективно при диагностике геморроя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трещин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опухолей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Возможность взять образец ткани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биопсию</w:t>
      </w:r>
      <w:r>
        <w:rPr>
          <w:rFonts w:ascii="Times Roman" w:hAnsi="Times Roman"/>
        </w:rPr>
        <w:t>)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проведения под седацией для комфортного прохождения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Кровь и слизь в кале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Частые запоры или диарея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Боли внизу живота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Подозрение на опухоли </w:t>
      </w:r>
      <w:r>
        <w:rPr>
          <w:rFonts w:ascii="Times Roman" w:hAnsi="Times Roman"/>
        </w:rPr>
        <w:t>прямой кишки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Тяжелое воспаление или обострение болезни кишечника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операции на органах ЖКТ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Комплексные чекапы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Федорова Гузалия Наилевна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Юлдашев Фарход Талибович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Хамматов Дамир Рафкатович</w:t>
      </w:r>
    </w:p>
    <w:p w:rsidR="008E6C9E" w:rsidRDefault="008E6C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Полипэктомия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 xml:space="preserve">Возможны во время эндоскопии </w:t>
      </w:r>
      <w:r>
        <w:rPr>
          <w:rFonts w:ascii="Times Roman" w:hAnsi="Times Roman"/>
          <w:i/>
          <w:iCs/>
        </w:rPr>
        <w:t>(</w:t>
      </w:r>
      <w:r>
        <w:rPr>
          <w:rFonts w:ascii="Times Roman" w:hAnsi="Times Roman"/>
          <w:i/>
          <w:iCs/>
        </w:rPr>
        <w:t>ФГДС</w:t>
      </w:r>
      <w:r>
        <w:rPr>
          <w:rFonts w:ascii="Times Roman" w:hAnsi="Times Roman"/>
          <w:i/>
          <w:iCs/>
        </w:rPr>
        <w:t xml:space="preserve">, </w:t>
      </w:r>
      <w:r>
        <w:rPr>
          <w:rFonts w:ascii="Times Roman" w:hAnsi="Times Roman"/>
          <w:i/>
          <w:iCs/>
        </w:rPr>
        <w:t>колоноскопия</w:t>
      </w:r>
      <w:r>
        <w:rPr>
          <w:rFonts w:ascii="Times Roman" w:hAnsi="Times Roman"/>
          <w:i/>
          <w:iCs/>
        </w:rPr>
        <w:t>)</w:t>
      </w:r>
      <w:r>
        <w:rPr>
          <w:rFonts w:ascii="Times Roman" w:eastAsia="Times Roman" w:hAnsi="Times Roman" w:cs="Times Roman"/>
          <w:i/>
          <w:iCs/>
        </w:rPr>
        <w:br/>
      </w:r>
      <w:r>
        <w:rPr>
          <w:rFonts w:ascii="Times Roman" w:eastAsia="Times Roman" w:hAnsi="Times Roman" w:cs="Times Roman"/>
          <w:i/>
          <w:iCs/>
        </w:rPr>
        <w:br/>
      </w:r>
      <w:r>
        <w:rPr>
          <w:rFonts w:ascii="Times Roman" w:hAnsi="Times Roman"/>
        </w:rPr>
        <w:t>Полипэктомия — удаление полипов в желудке или кишечнике с помощью специального эндоскопического инструмента</w:t>
      </w:r>
      <w:r>
        <w:rPr>
          <w:rFonts w:ascii="Times Roman" w:hAnsi="Times Roman"/>
        </w:rPr>
        <w:t>.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онкологических заболеваний ЖКТ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Быстрое выполнение во время эндоскопии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Безболезненно при седации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избежать полноценной хирургии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Обнаружение подозрительных участков слизистой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Наличие полипов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гиперплазии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воспаления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Скрытая кровь в кале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анемия неясного генеза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Тяжелое воспале</w:t>
      </w:r>
      <w:r>
        <w:rPr>
          <w:rFonts w:ascii="Times Roman" w:hAnsi="Times Roman"/>
        </w:rPr>
        <w:t>ние или обострение болезни кишечника</w:t>
      </w:r>
    </w:p>
    <w:p w:rsidR="008E6C9E" w:rsidRDefault="00152EC5">
      <w:pPr>
        <w:pStyle w:val="a7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операции на органах ЖКТ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Комплексные чекапы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</w:t>
      </w:r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Федорова Гузалия Наилевна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Юлдашев Фарход Талибович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Хамматов Дамир Рафкатович</w:t>
      </w:r>
    </w:p>
    <w:sectPr w:rsidR="008E6C9E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C5" w:rsidRDefault="00152EC5">
      <w:r>
        <w:separator/>
      </w:r>
    </w:p>
  </w:endnote>
  <w:endnote w:type="continuationSeparator" w:id="0">
    <w:p w:rsidR="00152EC5" w:rsidRDefault="0015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C9E" w:rsidRDefault="008E6C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C5" w:rsidRDefault="00152EC5">
      <w:r>
        <w:separator/>
      </w:r>
    </w:p>
  </w:footnote>
  <w:footnote w:type="continuationSeparator" w:id="0">
    <w:p w:rsidR="00152EC5" w:rsidRDefault="00152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C9E" w:rsidRDefault="008E6C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64FF"/>
    <w:multiLevelType w:val="hybridMultilevel"/>
    <w:tmpl w:val="D3921D3C"/>
    <w:styleLink w:val="a"/>
    <w:lvl w:ilvl="0" w:tplc="0592116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7AFE0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DEE2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E86595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FCC565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D9C64C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92084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D46F79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D2A6D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7947A8D"/>
    <w:multiLevelType w:val="hybridMultilevel"/>
    <w:tmpl w:val="7F6271A6"/>
    <w:styleLink w:val="a0"/>
    <w:lvl w:ilvl="0" w:tplc="9188982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82AE7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98B77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BED9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4642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E8BD6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32F9E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9C09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4E47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A05758"/>
    <w:multiLevelType w:val="hybridMultilevel"/>
    <w:tmpl w:val="D3921D3C"/>
    <w:numStyleLink w:val="a"/>
  </w:abstractNum>
  <w:abstractNum w:abstractNumId="3" w15:restartNumberingAfterBreak="0">
    <w:nsid w:val="52D331B8"/>
    <w:multiLevelType w:val="hybridMultilevel"/>
    <w:tmpl w:val="7F6271A6"/>
    <w:numStyleLink w:val="a0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lvl w:ilvl="0" w:tplc="0DB8C77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ACB2D6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5DAC75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A2A470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53C20C4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6789AF2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876316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5EC431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7D65D3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9E"/>
    <w:rsid w:val="00152EC5"/>
    <w:rsid w:val="003C69C0"/>
    <w:rsid w:val="008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45D1-7AB5-4BD2-9E37-3A9564E9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a0">
    <w:name w:val="Пункты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2025-06-23T14:57:00Z</dcterms:created>
  <dcterms:modified xsi:type="dcterms:W3CDTF">2025-06-23T14:57:00Z</dcterms:modified>
</cp:coreProperties>
</file>