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085041"/>
          <w:sz w:val="64"/>
          <w:szCs w:val="64"/>
        </w:rPr>
        <w:t xml:space="preserve">ARGUS</w:t>
      </w:r>
    </w:p>
    <w:p>
      <w:pPr>
        <w:spacing w:after="600"/>
        <w:jc w:val="center"/>
      </w:pPr>
      <w:r>
        <w:rPr>
          <w:color w:val="5F5E5A"/>
          <w:sz w:val="26"/>
          <w:szCs w:val="26"/>
        </w:rPr>
        <w:t xml:space="preserve">A shared-context coordination layer for AI agents operating Kubernetes, CI/CD, cost, and security</w:t>
      </w:r>
    </w:p>
    <w:p>
      <w:pPr>
        <w:pBdr>
          <w:top w:val="single" w:color="B4B2A9" w:sz="6"/>
        </w:pBdr>
        <w:spacing w:after="3200"/>
        <w:jc w:val="center"/>
      </w:pPr>
    </w:p>
    <w:p>
      <w:pPr>
        <w:spacing w:after="100"/>
        <w:jc w:val="center"/>
      </w:pPr>
      <w:r>
        <w:rPr>
          <w:b/>
          <w:bCs/>
          <w:sz w:val="24"/>
          <w:szCs w:val="24"/>
        </w:rPr>
        <w:t xml:space="preserve">Technical Problem Statement &amp; Product Documentation</w:t>
      </w:r>
    </w:p>
    <w:p>
      <w:pPr>
        <w:spacing w:after="800"/>
        <w:jc w:val="center"/>
      </w:pPr>
      <w:r>
        <w:rPr>
          <w:color w:val="5F5E5A"/>
          <w:sz w:val="20"/>
          <w:szCs w:val="20"/>
        </w:rPr>
        <w:t xml:space="preserve">Version 1.0  –  July 2026</w:t>
      </w:r>
    </w:p>
    <w:p>
      <w:pPr>
        <w:jc w:val="center"/>
      </w:pPr>
      <w:r>
        <w:rPr>
          <w:i/>
          <w:iCs/>
          <w:color w:val="5F5E5A"/>
          <w:sz w:val="18"/>
          <w:szCs w:val="18"/>
        </w:rPr>
        <w:t xml:space="preserve">Open-source project proposal  |  Prepared for technical review</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300"/>
      </w:pPr>
      <w:r>
        <w:rPr>
          <w:b w:val="false"/>
          <w:bCs w:val="false"/>
          <w:i w:val="false"/>
          <w:iCs w:val="false"/>
          <w:sz w:val="22"/>
          <w:szCs w:val="22"/>
        </w:rPr>
        <w:t xml:space="preserve">Argus is a proposed coordination layer for AI-driven DevOps operations — not another remediation agent, but the shared context and safety layer that sits underneath and between the specialized agents a team already runs. It is built around three specific, currently unsolved problems in AI-native infrastructure operations: the disconnect between infrastructure symptoms and the code that caused them, the lack of coordination between multiple autonomous agents acting on the same cluster, and the absence of a common, agent-readable schema for operational context.</w:t>
      </w:r>
    </w:p>
    <w:p>
      <w:pPr>
        <w:spacing w:after="160" w:line="300"/>
      </w:pPr>
      <w:r>
        <w:rPr>
          <w:b w:val="false"/>
          <w:bCs w:val="false"/>
          <w:i w:val="false"/>
          <w:iCs w:val="false"/>
          <w:sz w:val="22"/>
          <w:szCs w:val="22"/>
        </w:rPr>
        <w:t xml:space="preserve">Rather than competing with incident-response agents such as AWS DevOps Agent, Azure SRE Agent, or Datadog Bits AI SRE, Argus is designed to make any combination of such agents safer and more effective by giving them a shared knowledge graph, a conflict-aware approval gate, and a common language for describing cluster, pipeline, cost, and security state.</w:t>
      </w:r>
    </w:p>
    <w:p>
      <w:pPr>
        <w:spacing w:after="160" w:line="300"/>
      </w:pPr>
      <w:r>
        <w:rPr>
          <w:b w:val="false"/>
          <w:bCs w:val="false"/>
          <w:i w:val="false"/>
          <w:iCs w:val="false"/>
          <w:sz w:val="22"/>
          <w:szCs w:val="22"/>
        </w:rPr>
        <w:t xml:space="preserve">This document defines the problem, the technical architecture, the competitive landscape, the minimum viable scope, and a realistic build roadmap.</w:t>
      </w:r>
    </w:p>
    <w:p>
      <w:pPr>
        <w:pStyle w:val="Heading1"/>
        <w:spacing w:after="200" w:before="400"/>
      </w:pPr>
      <w:r>
        <w:t xml:space="preserve">2. Problem Statement</w:t>
      </w:r>
    </w:p>
    <w:p>
      <w:pPr>
        <w:spacing w:after="120" w:line="300"/>
      </w:pPr>
      <w:r>
        <w:rPr>
          <w:b w:val="false"/>
          <w:bCs w:val="false"/>
          <w:i w:val="false"/>
          <w:iCs w:val="false"/>
          <w:sz w:val="22"/>
          <w:szCs w:val="22"/>
        </w:rPr>
        <w:t xml:space="preserve">The AI-native DevOps space matured quickly in 2026: AWS DevOps Agent and Microsoft Azure SRE Agent both reached general availability in March 2026, and vendors such as Datadog, Dynatrace, and Komodor now ship autonomous or semi-autonomous agents that diagnose and, in bounded cases, remediate Kubernetes incidents. Despite this progress, three specific problems remain open even in the most mature commercial tools available today.</w:t>
      </w:r>
    </w:p>
    <w:p>
      <w:pPr>
        <w:pStyle w:val="Heading2"/>
        <w:spacing w:after="150" w:before="300"/>
      </w:pPr>
      <w:r>
        <w:t xml:space="preserve">2.1 The code-to-infrastructure context gap</w:t>
      </w:r>
    </w:p>
    <w:p>
      <w:pPr>
        <w:spacing w:after="160" w:line="300"/>
      </w:pPr>
      <w:r>
        <w:rPr>
          <w:b w:val="false"/>
          <w:bCs w:val="false"/>
          <w:i w:val="false"/>
          <w:iCs w:val="false"/>
          <w:sz w:val="22"/>
          <w:szCs w:val="22"/>
        </w:rPr>
        <w:t xml:space="preserve">Current agents reason well over telemetry, logs, and resource topology, but not over the code and dependency graph that produced the running system. Vendor documentation for both AWS DevOps Agent and Azure SRE Agent identifies this directly: the persistent gap in these agents is understanding which code components form a business service, which shared libraries carry downstream risk, and which architectural patterns govern inter-service communication. This is precisely why both vendors deliberately limited their agents to investigation and recommendation rather than automated action — the missing context makes autonomous execution too risky.</w:t>
      </w:r>
    </w:p>
    <w:p>
      <w:pPr>
        <w:pStyle w:val="Heading2"/>
        <w:spacing w:after="150" w:before="300"/>
      </w:pPr>
      <w:r>
        <w:t xml:space="preserve">2.2 The cross-agent conflict problem</w:t>
      </w:r>
    </w:p>
    <w:p>
      <w:pPr>
        <w:spacing w:after="160" w:line="300"/>
      </w:pPr>
      <w:r>
        <w:rPr>
          <w:b w:val="false"/>
          <w:bCs w:val="false"/>
          <w:i w:val="false"/>
          <w:iCs w:val="false"/>
          <w:sz w:val="22"/>
          <w:szCs w:val="22"/>
        </w:rPr>
        <w:t xml:space="preserve">Teams increasingly run more than one AI agent against the same cluster — a vendor incident-response agent, a cost optimizer, a security scanner — each reasoning and acting independently. There is currently no neutral layer that detects when two agents are about to take conflicting or overlapping actions. Practitioner reports from recent SRE conferences describe real cascading service degradation caused by overlapping automations from an over-eager auto-remediator. Each vendor guards against this only within its own agent; no cross-vendor coordination layer exists.</w:t>
      </w:r>
    </w:p>
    <w:p>
      <w:pPr>
        <w:pStyle w:val="Heading2"/>
        <w:spacing w:after="150" w:before="300"/>
      </w:pPr>
      <w:r>
        <w:t xml:space="preserve">2.3 The missing operational context standard</w:t>
      </w:r>
    </w:p>
    <w:p>
      <w:pPr>
        <w:spacing w:after="160" w:line="300"/>
      </w:pPr>
      <w:r>
        <w:rPr>
          <w:b w:val="false"/>
          <w:bCs w:val="false"/>
          <w:i w:val="false"/>
          <w:iCs w:val="false"/>
          <w:sz w:val="22"/>
          <w:szCs w:val="22"/>
        </w:rPr>
        <w:t xml:space="preserve">Every agent vendor currently builds bespoke integrations into Kubernetes, CI/CD systems, cost data, and security tooling. Industry guidance for 2026 explicitly recommends that platform teams standardize telemetry, event schemas, and operational APIs so that AI SRE agents can reliably diagnose and execute actions — language that confirms no such standard is in common use yet. The result is duplicated integration work across every tool a team adopts, and no shared source of truth that multiple agents can trust equally.</w:t>
      </w:r>
    </w:p>
    <w:p>
      <w:pPr>
        <w:spacing w:after="200" w:line="300"/>
      </w:pPr>
      <w:r>
        <w:rPr>
          <w:b w:val="false"/>
          <w:bCs w:val="false"/>
          <w:i w:val="false"/>
          <w:iCs w:val="false"/>
          <w:sz w:val="22"/>
          <w:szCs w:val="22"/>
        </w:rPr>
        <w:t xml:space="preserve">Underlying all three problems is a governance gap: research from McKinsey's 2026 State of AI Trust found that only about one in five organizations has a mature governance model for autonomous agents. The technology to act has arrived faster than the organizational trust required to let it act freely.</w:t>
      </w:r>
    </w:p>
    <w:p>
      <w:pPr>
        <w:pStyle w:val="Heading1"/>
        <w:spacing w:after="200" w:before="400"/>
      </w:pPr>
      <w:r>
        <w:t xml:space="preserve">3. Market Context</w:t>
      </w:r>
    </w:p>
    <w:p>
      <w:pPr>
        <w:spacing w:after="160" w:line="300"/>
      </w:pPr>
      <w:r>
        <w:rPr>
          <w:b w:val="false"/>
          <w:bCs w:val="false"/>
          <w:i w:val="false"/>
          <w:iCs w:val="false"/>
          <w:sz w:val="22"/>
          <w:szCs w:val="22"/>
        </w:rPr>
        <w:t xml:space="preserve">The global AI agent market was estimated at roughly $7.8 billion in 2025 and is projected to reach approximately $52.6 billion by 2030, a compound annual growth rate above 45%. Within DevOps specifically, adoption is already substantial: Deloitte's AIOps Adoption Survey found that half of Fortune 500 companies were running some form of self-healing AIOps stack by the first quarter of 2026, and Kubernetes-focused vendors such as Komodor report accuracy rates near 95% for their AI agents on real-world incident resolution, with Komodor named a Representative Vendor in the 2026 Gartner Market Guide for AI SRE Tooling.</w:t>
      </w:r>
    </w:p>
    <w:p>
      <w:pPr>
        <w:spacing w:after="160" w:line="300"/>
      </w:pPr>
      <w:r>
        <w:rPr>
          <w:b w:val="false"/>
          <w:bCs w:val="false"/>
          <w:i w:val="false"/>
          <w:iCs w:val="false"/>
          <w:sz w:val="22"/>
          <w:szCs w:val="22"/>
        </w:rPr>
        <w:t xml:space="preserve">This adoption has concentrated around vertically integrated, vendor-owned agents — each cloud provider and observability vendor offering its own closed diagnostic and remediation loop. None of the current market leaders offer a neutral, cross-vendor coordination or context layer; each optimizes for its own agent operating alone.</w:t>
      </w:r>
    </w:p>
    <w:p>
      <w:pPr>
        <w:pStyle w:val="Heading1"/>
        <w:spacing w:after="200" w:before="400"/>
      </w:pPr>
      <w:r>
        <w:t xml:space="preserve">4. Proposed Solution</w:t>
      </w:r>
    </w:p>
    <w:p>
      <w:pPr>
        <w:spacing w:after="120" w:line="300"/>
      </w:pPr>
      <w:r>
        <w:rPr>
          <w:b w:val="false"/>
          <w:bCs w:val="false"/>
          <w:i w:val="false"/>
          <w:iCs w:val="false"/>
          <w:sz w:val="22"/>
          <w:szCs w:val="22"/>
        </w:rPr>
        <w:t xml:space="preserve">Argus does not attempt to out-build AWS, Microsoft, or Datadog on remediation itself. Instead, it occupies the layer beneath and between agents — the shared context, coordination, and approval infrastructure that makes any agent (vendor-built or custom) safer and more effective. It is organized around four components:</w:t>
      </w:r>
    </w:p>
    <w:p>
      <w:pPr>
        <w:pStyle w:val="Heading2"/>
        <w:spacing w:after="150" w:before="300"/>
      </w:pPr>
      <w:r>
        <w:t xml:space="preserve">4.1 Shared Knowledge Graph</w:t>
      </w:r>
    </w:p>
    <w:p>
      <w:pPr>
        <w:spacing w:after="160" w:line="300"/>
      </w:pPr>
      <w:r>
        <w:rPr>
          <w:b w:val="false"/>
          <w:bCs w:val="false"/>
          <w:i w:val="false"/>
          <w:iCs w:val="false"/>
          <w:sz w:val="22"/>
          <w:szCs w:val="22"/>
        </w:rPr>
        <w:t xml:space="preserve">A persistent graph connecting code repositories, deployed services, infrastructure resources, CI/CD pipeline runs, cost data, and security findings. Every specialized agent reads from and writes to this graph, so a security agent's finding is automatically visible context for a cost agent's recommendation, and both inform what a deployment agent proposes. This graph is also the mechanism that closes the code-to-infrastructure gap described in Section 2.1: it links a running pod or service back to the repository, dependency, and pull request that produced it.</w:t>
      </w:r>
    </w:p>
    <w:p>
      <w:pPr>
        <w:pStyle w:val="Heading2"/>
        <w:spacing w:after="150" w:before="300"/>
      </w:pPr>
      <w:r>
        <w:t xml:space="preserve">4.2 Conflict-Aware Coordination Layer</w:t>
      </w:r>
    </w:p>
    <w:p>
      <w:pPr>
        <w:spacing w:after="160" w:line="300"/>
      </w:pPr>
      <w:r>
        <w:rPr>
          <w:b w:val="false"/>
          <w:bCs w:val="false"/>
          <w:i w:val="false"/>
          <w:iCs w:val="false"/>
          <w:sz w:val="22"/>
          <w:szCs w:val="22"/>
        </w:rPr>
        <w:t xml:space="preserve">Before any proposed action reaches a human for approval, it passes through a coordination layer that checks it against every other pending or recent proposal from any connected agent. Overlapping, contradictory, or high-blast-radius combinations are flagged and sequenced or blocked rather than allowed to execute concurrently — directly addressing the cascading-failure risk described in Section 2.2.</w:t>
      </w:r>
    </w:p>
    <w:p>
      <w:pPr>
        <w:pStyle w:val="Heading2"/>
        <w:spacing w:after="150" w:before="300"/>
      </w:pPr>
      <w:r>
        <w:t xml:space="preserve">4.3 Evidence-Based Proposal Engine</w:t>
      </w:r>
    </w:p>
    <w:p>
      <w:pPr>
        <w:spacing w:after="160" w:line="300"/>
      </w:pPr>
      <w:r>
        <w:rPr>
          <w:b w:val="false"/>
          <w:bCs w:val="false"/>
          <w:i w:val="false"/>
          <w:iCs w:val="false"/>
          <w:sz w:val="22"/>
          <w:szCs w:val="22"/>
        </w:rPr>
        <w:t xml:space="preserve">Every proposed change — whether from a built-in Argus agent or an integrated third-party agent — is presented with the specific graph evidence that supports it: which telemetry, which code change, which cost or security signal triggered the recommendation. Proposals are expressed as GitOps-style reviewable, reversible changes rather than direct cluster writes.</w:t>
      </w:r>
    </w:p>
    <w:p>
      <w:pPr>
        <w:pStyle w:val="Heading2"/>
        <w:spacing w:after="150" w:before="300"/>
      </w:pPr>
      <w:r>
        <w:t xml:space="preserve">4.4 Human Approval Gate</w:t>
      </w:r>
    </w:p>
    <w:p>
      <w:pPr>
        <w:spacing w:after="160" w:line="300"/>
      </w:pPr>
      <w:r>
        <w:rPr>
          <w:b w:val="false"/>
          <w:bCs w:val="false"/>
          <w:i w:val="false"/>
          <w:iCs w:val="false"/>
          <w:sz w:val="22"/>
          <w:szCs w:val="22"/>
        </w:rPr>
        <w:t xml:space="preserve">No change reaches production without explicit human approval, scoped by least-privilege RBAC and gated by admission control (Kyverno or OPA/Gatekeeper). This mirrors the pattern the industry has converged on as safe: LLM reasoning bounded by GitOps and policy, with every action a reviewable, reversible commit rather than a live cluster mutation.</w:t>
      </w:r>
    </w:p>
    <w:p>
      <w:pPr>
        <w:pStyle w:val="Heading1"/>
        <w:spacing w:after="200" w:before="400"/>
      </w:pPr>
      <w:r>
        <w:t xml:space="preserve">5. Architecture Overview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0"/>
      </w:tblGrid>
      <w:tr>
        <w:trPr>
          <w:tblHeader/>
        </w:trPr>
        <w:tc>
          <w:tcPr>
            <w:tcW w:type="dxa" w:w="24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Layer</w:t>
            </w:r>
          </w:p>
        </w:tc>
        <w:tc>
          <w:tcPr>
            <w:tcW w:type="dxa" w:w="28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Function</w:t>
            </w:r>
          </w:p>
        </w:tc>
        <w:tc>
          <w:tcPr>
            <w:tcW w:type="dxa" w:w="382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Problem it addresses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Shared knowledge graph</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Links code, services, infra, cost, and security into one queryable graph</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Code-to-infrastructure context gap (2.1)</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Coordination layer</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Detects conflicting or overlapping agent proposals before execution</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Cross-agent conflict problem (2.2)</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Proposal engine</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Attaches evidence to every proposed change, formatted as GitOps commits</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Trust and auditability gap</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Approval gate</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Human sign-off, scoped RBAC, admission-control enforcement</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Governance gap (McKinsey, 2026)</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Context adapters</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Normalize Kubernetes, CI/CD, cost, and security data into a common schema</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Missing operational context standard (2.3)</w:t>
            </w:r>
          </w:p>
        </w:tc>
      </w:tr>
    </w:tbl>
    <w:p>
      <w:pPr>
        <w:spacing w:after="100" w:line="300"/>
      </w:pPr>
      <w:r>
        <w:rPr>
          <w:b w:val="false"/>
          <w:bCs w:val="false"/>
          <w:i w:val="false"/>
          <w:iCs w:val="false"/>
          <w:sz w:val="22"/>
          <w:szCs w:val="22"/>
        </w:rPr>
        <w:t xml:space="preserve"/>
      </w:r>
    </w:p>
    <w:p>
      <w:pPr>
        <w:pStyle w:val="Heading1"/>
        <w:spacing w:after="200" w:before="400"/>
      </w:pPr>
      <w:r>
        <w:t xml:space="preserve">6. Core Differentiation</w:t>
      </w:r>
    </w:p>
    <w:p>
      <w:pPr>
        <w:pStyle w:val="ListParagraph"/>
        <w:numPr>
          <w:ilvl w:val="0"/>
          <w:numId w:val="2"/>
        </w:numPr>
        <w:spacing w:after="100" w:line="300"/>
      </w:pPr>
      <w:r>
        <w:rPr>
          <w:sz w:val="22"/>
          <w:szCs w:val="22"/>
        </w:rPr>
        <w:t xml:space="preserve">Vendor-agnostic by design — Argus coordinates existing agents (AWS, Azure, Datadog, open-source, or custom) rather than replacing them, unlike incumbents who each optimize only for their own closed loop.</w:t>
      </w:r>
    </w:p>
    <w:p>
      <w:pPr>
        <w:pStyle w:val="ListParagraph"/>
        <w:numPr>
          <w:ilvl w:val="0"/>
          <w:numId w:val="2"/>
        </w:numPr>
        <w:spacing w:after="100" w:line="300"/>
      </w:pPr>
      <w:r>
        <w:rPr>
          <w:sz w:val="22"/>
          <w:szCs w:val="22"/>
        </w:rPr>
        <w:t xml:space="preserve">Closes the code-context gap that AWS and Azure's own documentation names as their current limitation, by treating code provenance as a first-class part of the knowledge graph rather than an afterthought.</w:t>
      </w:r>
    </w:p>
    <w:p>
      <w:pPr>
        <w:pStyle w:val="ListParagraph"/>
        <w:numPr>
          <w:ilvl w:val="0"/>
          <w:numId w:val="2"/>
        </w:numPr>
        <w:spacing w:after="100" w:line="300"/>
      </w:pPr>
      <w:r>
        <w:rPr>
          <w:sz w:val="22"/>
          <w:szCs w:val="22"/>
        </w:rPr>
        <w:t xml:space="preserve">Solves conflict coordination across agents, not just within a single vendor's agent — a problem no current commercial product addresses.</w:t>
      </w:r>
    </w:p>
    <w:p>
      <w:pPr>
        <w:pStyle w:val="ListParagraph"/>
        <w:numPr>
          <w:ilvl w:val="0"/>
          <w:numId w:val="2"/>
        </w:numPr>
        <w:spacing w:after="100" w:line="300"/>
      </w:pPr>
      <w:r>
        <w:rPr>
          <w:sz w:val="22"/>
          <w:szCs w:val="22"/>
        </w:rPr>
        <w:t xml:space="preserve">Targets the governance gap directly — built around the assumption that most organizations are not yet ready to trust full autonomy, per McKinsey's 2026 findings, rather than assuming trust that doesn't yet exist.</w:t>
      </w:r>
    </w:p>
    <w:p>
      <w:pPr>
        <w:pStyle w:val="Heading1"/>
        <w:spacing w:after="200" w:before="400"/>
      </w:pPr>
      <w:r>
        <w:t xml:space="preserve">7. Minimum Viable Product Scope</w:t>
      </w:r>
    </w:p>
    <w:p>
      <w:pPr>
        <w:spacing w:after="120" w:line="300"/>
      </w:pPr>
      <w:r>
        <w:rPr>
          <w:b w:val="false"/>
          <w:bCs w:val="false"/>
          <w:i w:val="false"/>
          <w:iCs w:val="false"/>
          <w:sz w:val="22"/>
          <w:szCs w:val="22"/>
        </w:rPr>
        <w:t xml:space="preserve">The MVP validates the two sharpest, least-contested problems — shared context and conflict coordination — without attempting to replace any existing remediation agent.</w:t>
      </w:r>
    </w:p>
    <w:p>
      <w:pPr>
        <w:pStyle w:val="ListParagraph"/>
        <w:numPr>
          <w:ilvl w:val="0"/>
          <w:numId w:val="3"/>
        </w:numPr>
        <w:spacing w:after="100" w:line="300"/>
      </w:pPr>
      <w:r>
        <w:rPr>
          <w:sz w:val="22"/>
          <w:szCs w:val="22"/>
        </w:rPr>
        <w:t xml:space="preserve">Knowledge graph schema covering one Kubernetes cluster, its Git repositories, and its CI/CD pipeline history</w:t>
      </w:r>
    </w:p>
    <w:p>
      <w:pPr>
        <w:pStyle w:val="ListParagraph"/>
        <w:numPr>
          <w:ilvl w:val="0"/>
          <w:numId w:val="3"/>
        </w:numPr>
        <w:spacing w:after="100" w:line="300"/>
      </w:pPr>
      <w:r>
        <w:rPr>
          <w:sz w:val="22"/>
          <w:szCs w:val="22"/>
        </w:rPr>
        <w:t xml:space="preserve">Ingestion adapters for Kubernetes API objects, Git commit metadata, and one CI/CD system (e.g., GitHub Actions or Argo CD)</w:t>
      </w:r>
    </w:p>
    <w:p>
      <w:pPr>
        <w:pStyle w:val="ListParagraph"/>
        <w:numPr>
          <w:ilvl w:val="0"/>
          <w:numId w:val="3"/>
        </w:numPr>
        <w:spacing w:after="100" w:line="300"/>
      </w:pPr>
      <w:r>
        <w:rPr>
          <w:sz w:val="22"/>
          <w:szCs w:val="22"/>
        </w:rPr>
        <w:t xml:space="preserve">A single reference agent that reads the graph and proposes GitOps pull requests for one class of known issue (e.g., resource limit misconfiguration)</w:t>
      </w:r>
    </w:p>
    <w:p>
      <w:pPr>
        <w:pStyle w:val="ListParagraph"/>
        <w:numPr>
          <w:ilvl w:val="0"/>
          <w:numId w:val="3"/>
        </w:numPr>
        <w:spacing w:after="100" w:line="300"/>
      </w:pPr>
      <w:r>
        <w:rPr>
          <w:sz w:val="22"/>
          <w:szCs w:val="22"/>
        </w:rPr>
        <w:t xml:space="preserve">A conflict-check service that can ingest a second, independent proposal source and flag overlapping resource targets</w:t>
      </w:r>
    </w:p>
    <w:p>
      <w:pPr>
        <w:pStyle w:val="ListParagraph"/>
        <w:numPr>
          <w:ilvl w:val="0"/>
          <w:numId w:val="3"/>
        </w:numPr>
        <w:spacing w:after="100" w:line="300"/>
      </w:pPr>
      <w:r>
        <w:rPr>
          <w:sz w:val="22"/>
          <w:szCs w:val="22"/>
        </w:rPr>
        <w:t xml:space="preserve">Evidence attachment on every proposal, linking back to the specific graph nodes that justified it</w:t>
      </w:r>
    </w:p>
    <w:p>
      <w:pPr>
        <w:pStyle w:val="ListParagraph"/>
        <w:numPr>
          <w:ilvl w:val="0"/>
          <w:numId w:val="3"/>
        </w:numPr>
        <w:spacing w:after="100" w:line="300"/>
      </w:pPr>
      <w:r>
        <w:rPr>
          <w:sz w:val="22"/>
          <w:szCs w:val="22"/>
        </w:rPr>
        <w:t xml:space="preserve">A minimal review UI or CLI where a human approves, rejects, or requests more evidence before a PR is merged</w:t>
      </w:r>
    </w:p>
    <w:p>
      <w:pPr>
        <w:spacing w:after="200" w:line="300"/>
      </w:pPr>
      <w:r>
        <w:rPr>
          <w:b w:val="false"/>
          <w:bCs w:val="false"/>
          <w:i w:val="false"/>
          <w:iCs w:val="false"/>
          <w:sz w:val="22"/>
          <w:szCs w:val="22"/>
        </w:rPr>
        <w:t xml:space="preserve">Full multi-agent orchestration across cost, security, and reliability domains simultaneously is explicitly out of scope for the MVP and reserved for the roadmap below.</w:t>
      </w:r>
    </w:p>
    <w:p>
      <w:pPr>
        <w:pStyle w:val="Heading1"/>
        <w:spacing w:after="200" w:before="400"/>
      </w:pPr>
      <w:r>
        <w:t xml:space="preserve">8. Development Roadmap</w:t>
      </w:r>
    </w:p>
    <w:p>
      <w:pPr>
        <w:spacing w:after="120" w:line="300"/>
      </w:pPr>
      <w:r>
        <w:rPr>
          <w:b w:val="false"/>
          <w:bCs w:val="false"/>
          <w:i w:val="false"/>
          <w:iCs w:val="false"/>
          <w:sz w:val="22"/>
          <w:szCs w:val="22"/>
        </w:rPr>
        <w:t xml:space="preserve">Estimated for one full-time developer already comfortable with Kubernetes, vector/graph databases, and agent frameworks, using Claude Code to accelerate scaffolding and integration 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0"/>
      </w:tblGrid>
      <w:tr>
        <w:trPr>
          <w:tblHeader/>
        </w:trPr>
        <w:tc>
          <w:tcPr>
            <w:tcW w:type="dxa" w:w="32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Phase</w:t>
            </w:r>
          </w:p>
        </w:tc>
        <w:tc>
          <w:tcPr>
            <w:tcW w:type="dxa" w:w="42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Deliverable</w:t>
            </w:r>
          </w:p>
        </w:tc>
        <w:tc>
          <w:tcPr>
            <w:tcW w:type="dxa" w:w="162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center"/>
            </w:pPr>
            <w:r>
              <w:rPr>
                <w:b/>
                <w:bCs/>
                <w:color w:val="085041"/>
                <w:sz w:val="20"/>
                <w:szCs w:val="20"/>
              </w:rPr>
              <w:t xml:space="preserve">Duration</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1. Graph schema &amp; storage</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Define node/edge schema; stand up graph store and query layer</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 wk</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2. Ingestion adapters</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Kubernetes, Git, and one CI/CD system feeding the graph</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1.5–2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3. Reference agent</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Single-domain agent producing evidence-backed GitOps proposals</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4. Conflict coordinator</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Detects overlapping proposals across two or more sources</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1.5–2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5. Evidence &amp; approval UI</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Review interface showing graph evidence per proposal</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6. Admission control integration</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Kyverno/OPA policy gate before any merge takes effect</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4–6 days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7. Testing &amp; launch prep</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End-to-end validation, documentation, demo cluster</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 wk</w:t>
            </w:r>
          </w:p>
        </w:tc>
      </w:tr>
    </w:tbl>
    <w:p>
      <w:pPr>
        <w:spacing w:after="80" w:line="300"/>
      </w:pPr>
      <w:r>
        <w:rPr>
          <w:b w:val="false"/>
          <w:bCs w:val="false"/>
          <w:i w:val="false"/>
          <w:iCs w:val="false"/>
          <w:sz w:val="22"/>
          <w:szCs w:val="22"/>
        </w:rPr>
        <w:t xml:space="preserve"/>
      </w:r>
    </w:p>
    <w:p>
      <w:pPr>
        <w:spacing w:after="200" w:line="300"/>
      </w:pPr>
      <w:r>
        <w:rPr>
          <w:b w:val="false"/>
          <w:bCs w:val="false"/>
          <w:i w:val="false"/>
          <w:iCs w:val="false"/>
          <w:sz w:val="22"/>
          <w:szCs w:val="22"/>
        </w:rPr>
        <w:t xml:space="preserve">Total estimated time: 8–10 weeks full-time for a demo-ready MVP covering one cluster, one CI/CD system, and conflict detection across two proposal sources.</w:t>
      </w:r>
    </w:p>
    <w:p>
      <w:pPr>
        <w:pStyle w:val="Heading1"/>
        <w:spacing w:after="200" w:before="400"/>
      </w:pPr>
      <w:r>
        <w:t xml:space="preserve">9. Competitive Landscape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0"/>
      </w:tblGrid>
      <w:tr>
        <w:trPr>
          <w:tblHeader/>
        </w:trPr>
        <w:tc>
          <w:tcPr>
            <w:tcW w:type="dxa" w:w="22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Platform</w:t>
            </w:r>
          </w:p>
        </w:tc>
        <w:tc>
          <w:tcPr>
            <w:tcW w:type="dxa" w:w="360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Category</w:t>
            </w:r>
          </w:p>
        </w:tc>
        <w:tc>
          <w:tcPr>
            <w:tcW w:type="dxa" w:w="3220"/>
            <w:tcBorders>
              <w:top w:val="single" w:color="B4B2A9" w:sz="4"/>
              <w:left w:val="single" w:color="B4B2A9" w:sz="4"/>
              <w:bottom w:val="single" w:color="B4B2A9" w:sz="4"/>
              <w:right w:val="single" w:color="B4B2A9" w:sz="4"/>
            </w:tcBorders>
            <w:shd w:fill="E1F5EE" w:val="clear"/>
            <w:tcMar>
              <w:top w:type="dxa" w:w="80"/>
              <w:left w:type="dxa" w:w="120"/>
              <w:bottom w:type="dxa" w:w="80"/>
              <w:right w:type="dxa" w:w="120"/>
            </w:tcMar>
            <w:vAlign w:val="center"/>
          </w:tcPr>
          <w:p>
            <w:pPr>
              <w:jc w:val="left"/>
            </w:pPr>
            <w:r>
              <w:rPr>
                <w:b/>
                <w:bCs/>
                <w:color w:val="085041"/>
                <w:sz w:val="20"/>
                <w:szCs w:val="20"/>
              </w:rPr>
              <w:t xml:space="preserve">Where Argus differs</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AWS DevOps Agent / Azure SRE Agent</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Vendor-native, telemetry- and topology-aware incident agents, GA March 2026</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Limited by code-level context by their own admission; Argus targets exactly that gap</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Datadog Bits AI SRE / Dynatrace Davis</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Autonomous, always-on incident investigation within one observability suite</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Single-vendor closed loop; Argus coordinates across any combination of agents</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Sedai</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Autonomous anomaly detection, remediation, and cost attribution for Kubernetes</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Focused on one platform's own automation; no cross-agent conflict handling</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Akuity Intelligence</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Specialized agents for GitOps deployment, troubleshooting, and release promotion</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Closest architectural parallel; Argus adds a cross-vendor knowledge graph and conflict layer</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HolmesGPT</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Open-source, CNCF-sandbox root-cause diagnosis from alerts</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Per-incident reasoning only; no persistent shared graph or multi-agent coordination</w:t>
            </w:r>
          </w:p>
        </w:tc>
      </w:tr>
    </w:tbl>
    <w:p>
      <w:pPr>
        <w:spacing w:after="200" w:line="300"/>
      </w:pPr>
      <w:r>
        <w:rPr>
          <w:b w:val="false"/>
          <w:bCs w:val="false"/>
          <w:i w:val="false"/>
          <w:iCs w:val="false"/>
          <w:sz w:val="22"/>
          <w:szCs w:val="22"/>
        </w:rPr>
        <w:t xml:space="preserve"/>
      </w:r>
    </w:p>
    <w:p>
      <w:pPr>
        <w:pStyle w:val="Heading1"/>
        <w:spacing w:after="200" w:before="400"/>
      </w:pPr>
      <w:r>
        <w:t xml:space="preserve">10. Risks and Mitigations</w:t>
      </w:r>
    </w:p>
    <w:p>
      <w:pPr>
        <w:pStyle w:val="ListParagraph"/>
        <w:numPr>
          <w:ilvl w:val="0"/>
          <w:numId w:val="2"/>
        </w:numPr>
        <w:spacing w:after="100" w:line="300"/>
      </w:pPr>
      <w:r>
        <w:rPr>
          <w:sz w:val="22"/>
          <w:szCs w:val="22"/>
        </w:rPr>
        <w:t xml:space="preserve">Integration breadth — supporting every combination of third-party agents is unbounded. Mitigation: MVP targets one reference agent and one external proposal source; expand adapters incrementally based on demand.</w:t>
      </w:r>
    </w:p>
    <w:p>
      <w:pPr>
        <w:pStyle w:val="ListParagraph"/>
        <w:numPr>
          <w:ilvl w:val="0"/>
          <w:numId w:val="2"/>
        </w:numPr>
        <w:spacing w:after="100" w:line="300"/>
      </w:pPr>
      <w:r>
        <w:rPr>
          <w:sz w:val="22"/>
          <w:szCs w:val="22"/>
        </w:rPr>
        <w:t xml:space="preserve">Graph staleness or incompleteness — a knowledge graph that lags real cluster state produces bad evidence. Mitigation: prioritize a small number of high-confidence data sources over broad but shallow coverage.</w:t>
      </w:r>
    </w:p>
    <w:p>
      <w:pPr>
        <w:pStyle w:val="ListParagraph"/>
        <w:numPr>
          <w:ilvl w:val="0"/>
          <w:numId w:val="2"/>
        </w:numPr>
        <w:spacing w:after="100" w:line="300"/>
      </w:pPr>
      <w:r>
        <w:rPr>
          <w:sz w:val="22"/>
          <w:szCs w:val="22"/>
        </w:rPr>
        <w:t xml:space="preserve">Trust adoption curve — given the governance gap identified by McKinsey, enterprise buyers may be slow to adopt even a coordination layer. Mitigation: position the read-only, evidence-and-approval value first; autonomous execution is a later, optional capability, not a requirement to get value.</w:t>
      </w:r>
    </w:p>
    <w:p>
      <w:pPr>
        <w:pStyle w:val="ListParagraph"/>
        <w:numPr>
          <w:ilvl w:val="0"/>
          <w:numId w:val="2"/>
        </w:numPr>
        <w:spacing w:after="100" w:line="300"/>
      </w:pPr>
      <w:r>
        <w:rPr>
          <w:sz w:val="22"/>
          <w:szCs w:val="22"/>
        </w:rPr>
        <w:t xml:space="preserve">Vendor cooperation — some agent vendors may resist integration with a neutral coordination layer. Mitigation: start with open-source agents (HolmesGPT, custom agents) and self-built reference agents, where integration is fully within Argus's control.</w:t>
      </w:r>
    </w:p>
    <w:p>
      <w:pPr>
        <w:pStyle w:val="Heading1"/>
        <w:spacing w:after="200" w:before="400"/>
      </w:pPr>
      <w:r>
        <w:t xml:space="preserve">11. Conclusion and Next Steps</w:t>
      </w:r>
    </w:p>
    <w:p>
      <w:pPr>
        <w:spacing w:after="160" w:line="300"/>
      </w:pPr>
      <w:r>
        <w:rPr>
          <w:b w:val="false"/>
          <w:bCs w:val="false"/>
          <w:i w:val="false"/>
          <w:iCs w:val="false"/>
          <w:sz w:val="22"/>
          <w:szCs w:val="22"/>
        </w:rPr>
        <w:t xml:space="preserve">Argus is not a bet that a new team can out-build AWS, Microsoft, or Datadog at incident remediation — it is a bet that the shared context, cross-agent coordination, and governance layer beneath those tools remains genuinely unbuilt, and is exactly the layer the industry's own documentation and research say is still missing.</w:t>
      </w:r>
    </w:p>
    <w:p>
      <w:pPr>
        <w:spacing w:after="100" w:line="300"/>
      </w:pPr>
      <w:r>
        <w:rPr>
          <w:b w:val="false"/>
          <w:bCs w:val="false"/>
          <w:i w:val="false"/>
          <w:iCs w:val="false"/>
          <w:sz w:val="22"/>
          <w:szCs w:val="22"/>
        </w:rPr>
        <w:t xml:space="preserve">The recommended path is to build the MVP scope in Section 7 first — a single cluster, single CI/CD system, and one reference agent — to prove the knowledge graph and conflict-detection concepts concretely, before expanding adapter coverage or attempting broader multi-agent orchestration.</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ARGUS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2026-07-20T11:01:19.232Z</dcterms:created>
  <dcterms:modified xsi:type="dcterms:W3CDTF">2026-07-20T11:01:19.249Z</dcterms:modified>
</cp:coreProperties>
</file>

<file path=docProps/custom.xml><?xml version="1.0" encoding="utf-8"?>
<Properties xmlns="http://schemas.openxmlformats.org/officeDocument/2006/custom-properties" xmlns:vt="http://schemas.openxmlformats.org/officeDocument/2006/docPropsVTypes"/>
</file>