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0C447C"/>
          <w:sz w:val="64"/>
          <w:szCs w:val="64"/>
        </w:rPr>
        <w:t xml:space="preserve">FORGE</w:t>
      </w:r>
    </w:p>
    <w:p>
      <w:pPr>
        <w:spacing w:after="600"/>
        <w:jc w:val="center"/>
      </w:pPr>
      <w:r>
        <w:rPr>
          <w:color w:val="5F5E5A"/>
          <w:sz w:val="26"/>
          <w:szCs w:val="26"/>
        </w:rPr>
        <w:t xml:space="preserve">A self-hosted platform for building and deploying multi-agent AI systems</w:t>
      </w:r>
    </w:p>
    <w:p>
      <w:pPr>
        <w:pBdr>
          <w:top w:val="single" w:color="B4B2A9" w:sz="6"/>
        </w:pBdr>
        <w:spacing w:after="3200"/>
        <w:jc w:val="center"/>
      </w:pPr>
    </w:p>
    <w:p>
      <w:pPr>
        <w:spacing w:after="100"/>
        <w:jc w:val="center"/>
      </w:pPr>
      <w:r>
        <w:rPr>
          <w:b/>
          <w:bCs/>
          <w:sz w:val="24"/>
          <w:szCs w:val="24"/>
        </w:rPr>
        <w:t xml:space="preserve">Technical Problem Statement &amp; Product Documentation</w:t>
      </w:r>
    </w:p>
    <w:p>
      <w:pPr>
        <w:spacing w:after="800"/>
        <w:jc w:val="center"/>
      </w:pPr>
      <w:r>
        <w:rPr>
          <w:color w:val="5F5E5A"/>
          <w:sz w:val="20"/>
          <w:szCs w:val="20"/>
        </w:rPr>
        <w:t xml:space="preserve">Version 1.0  –  July 2026</w:t>
      </w:r>
    </w:p>
    <w:p>
      <w:pPr>
        <w:jc w:val="center"/>
      </w:pPr>
      <w:r>
        <w:rPr>
          <w:i/>
          <w:iCs/>
          <w:color w:val="5F5E5A"/>
          <w:sz w:val="18"/>
          <w:szCs w:val="18"/>
        </w:rPr>
        <w:t xml:space="preserve">Open-source project proposal  |  Prepared for technical review</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line="300"/>
      </w:pPr>
      <w:r>
        <w:rPr>
          <w:b w:val="false"/>
          <w:bCs w:val="false"/>
          <w:i w:val="false"/>
          <w:iCs w:val="false"/>
          <w:sz w:val="22"/>
          <w:szCs w:val="22"/>
        </w:rPr>
        <w:t xml:space="preserve">Forge is a proposed open-source, self-hosted platform for building, orchestrating, and deploying multiple AI agents from a single unified environment. It combines a code editor, version control, agent orchestration, tool integration (via MCP), local inference, and container-based deployment into one cohesive stack — removing the need for developers to manually wire together a dozen separate tools before they can ship a working agent.</w:t>
      </w:r>
    </w:p>
    <w:p>
      <w:pPr>
        <w:spacing w:after="160" w:line="300"/>
      </w:pPr>
      <w:r>
        <w:rPr>
          <w:b w:val="false"/>
          <w:bCs w:val="false"/>
          <w:i w:val="false"/>
          <w:iCs w:val="false"/>
          <w:sz w:val="22"/>
          <w:szCs w:val="22"/>
        </w:rPr>
        <w:t xml:space="preserve">The platform targets startups and small engineering teams who want to build production agents without depending on external cloud APIs for inference, vector storage, or orchestration. Its core differentiator is a fully self-hosted, single-command deployment experience: no API keys, no per-token billing, and no data leaving the team's own infrastructure.</w:t>
      </w:r>
    </w:p>
    <w:p>
      <w:pPr>
        <w:spacing w:after="160" w:line="300"/>
      </w:pPr>
      <w:r>
        <w:rPr>
          <w:b w:val="false"/>
          <w:bCs w:val="false"/>
          <w:i w:val="false"/>
          <w:iCs w:val="false"/>
          <w:sz w:val="22"/>
          <w:szCs w:val="22"/>
        </w:rPr>
        <w:t xml:space="preserve">This document lays out the problem the platform solves, the technical architecture, the competitive landscape, the minimum viable feature set, and a realistic development roadmap.</w:t>
      </w:r>
    </w:p>
    <w:p>
      <w:pPr>
        <w:pStyle w:val="Heading1"/>
        <w:spacing w:after="200" w:before="400"/>
      </w:pPr>
      <w:r>
        <w:t xml:space="preserve">2. Problem Statement</w:t>
      </w:r>
    </w:p>
    <w:p>
      <w:pPr>
        <w:spacing w:after="120" w:line="300"/>
      </w:pPr>
      <w:r>
        <w:rPr>
          <w:b w:val="false"/>
          <w:bCs w:val="false"/>
          <w:i w:val="false"/>
          <w:iCs w:val="false"/>
          <w:sz w:val="22"/>
          <w:szCs w:val="22"/>
        </w:rPr>
        <w:t xml:space="preserve">Teams that want to build and ship AI agents today face a fragmented and expensive tooling landscape:</w:t>
      </w:r>
    </w:p>
    <w:p>
      <w:pPr>
        <w:pStyle w:val="ListParagraph"/>
        <w:numPr>
          <w:ilvl w:val="0"/>
          <w:numId w:val="2"/>
        </w:numPr>
        <w:spacing w:after="100" w:line="300"/>
      </w:pPr>
      <w:r>
        <w:rPr>
          <w:sz w:val="22"/>
          <w:szCs w:val="22"/>
        </w:rPr>
        <w:t xml:space="preserve">Fragmented infrastructure — a working agent needs a vector database, a cache/queue, object storage, a relational database, an inference engine, and a deployment target. Wiring these together from scratch takes days before any agent logic is written.</w:t>
      </w:r>
    </w:p>
    <w:p>
      <w:pPr>
        <w:pStyle w:val="ListParagraph"/>
        <w:numPr>
          <w:ilvl w:val="0"/>
          <w:numId w:val="2"/>
        </w:numPr>
        <w:spacing w:after="100" w:line="300"/>
      </w:pPr>
      <w:r>
        <w:rPr>
          <w:sz w:val="22"/>
          <w:szCs w:val="22"/>
        </w:rPr>
        <w:t xml:space="preserve">Cloud dependency and cost — most popular agent frameworks assume a cloud LLM API by default. This means per-token billing, data leaving the company's infrastructure, and unpredictable costs as usage scales.</w:t>
      </w:r>
    </w:p>
    <w:p>
      <w:pPr>
        <w:pStyle w:val="ListParagraph"/>
        <w:numPr>
          <w:ilvl w:val="0"/>
          <w:numId w:val="2"/>
        </w:numPr>
        <w:spacing w:after="100" w:line="300"/>
      </w:pPr>
      <w:r>
        <w:rPr>
          <w:sz w:val="22"/>
          <w:szCs w:val="22"/>
        </w:rPr>
        <w:t xml:space="preserve">Data sovereignty concerns — startups working with customer data, regulated industries, or privacy-conscious clients often cannot send prompts and documents to third-party inference APIs at all.</w:t>
      </w:r>
    </w:p>
    <w:p>
      <w:pPr>
        <w:pStyle w:val="ListParagraph"/>
        <w:numPr>
          <w:ilvl w:val="0"/>
          <w:numId w:val="2"/>
        </w:numPr>
        <w:spacing w:after="100" w:line="300"/>
      </w:pPr>
      <w:r>
        <w:rPr>
          <w:sz w:val="22"/>
          <w:szCs w:val="22"/>
        </w:rPr>
        <w:t xml:space="preserve">Deployment complexity — frameworks are optimized for prototyping a single agent locally, not for reliably deploying and scaling many agents in production with proper isolation, monitoring, and rollback.</w:t>
      </w:r>
    </w:p>
    <w:p>
      <w:pPr>
        <w:pStyle w:val="ListParagraph"/>
        <w:numPr>
          <w:ilvl w:val="0"/>
          <w:numId w:val="2"/>
        </w:numPr>
        <w:spacing w:after="100" w:line="300"/>
      </w:pPr>
      <w:r>
        <w:rPr>
          <w:sz w:val="22"/>
          <w:szCs w:val="22"/>
        </w:rPr>
        <w:t xml:space="preserve">Tool integration overhead — connecting an agent to internal APIs and external services is usually bespoke, non-reusable code per framework, rather than a standardized interface.</w:t>
      </w:r>
    </w:p>
    <w:p>
      <w:pPr>
        <w:spacing w:after="200" w:line="300"/>
      </w:pPr>
      <w:r>
        <w:rPr>
          <w:b w:val="false"/>
          <w:bCs w:val="false"/>
          <w:i w:val="false"/>
          <w:iCs w:val="false"/>
          <w:sz w:val="22"/>
          <w:szCs w:val="22"/>
        </w:rPr>
        <w:t xml:space="preserve">The result: teams either spend weeks building internal infrastructure before writing a single agent, or they adopt cloud-first platforms that lock them into recurring costs and external data flows they may not want.</w:t>
      </w:r>
    </w:p>
    <w:p>
      <w:pPr>
        <w:pStyle w:val="Heading1"/>
        <w:spacing w:after="200" w:before="400"/>
      </w:pPr>
      <w:r>
        <w:t xml:space="preserve">3. Market Context</w:t>
      </w:r>
    </w:p>
    <w:p>
      <w:pPr>
        <w:spacing w:after="160" w:line="300"/>
      </w:pPr>
      <w:r>
        <w:rPr>
          <w:b w:val="false"/>
          <w:bCs w:val="false"/>
          <w:i w:val="false"/>
          <w:iCs w:val="false"/>
          <w:sz w:val="22"/>
          <w:szCs w:val="22"/>
        </w:rPr>
        <w:t xml:space="preserve">The agent tooling market is expanding rapidly. Independent market research estimates the global AI agent market at approximately $7.8 billion in 2025, projected to reach roughly $52.6 billion by 2030 — a compound annual growth rate above 45%. Industry analysts also project that task-specific AI agents will appear in around 40% of enterprise applications by the end of 2026, up from under 5% a year earlier.</w:t>
      </w:r>
    </w:p>
    <w:p>
      <w:pPr>
        <w:spacing w:after="160" w:line="300"/>
      </w:pPr>
      <w:r>
        <w:rPr>
          <w:b w:val="false"/>
          <w:bCs w:val="false"/>
          <w:i w:val="false"/>
          <w:iCs w:val="false"/>
          <w:sz w:val="22"/>
          <w:szCs w:val="22"/>
        </w:rPr>
        <w:t xml:space="preserve">This growth has produced a crowded field of frameworks and platforms: code-first frameworks (LangGraph, CrewAI, AutoGen, Google ADK), visual/low-code builders (Dify, n8n), and full-stack AI workspaces (Sim) all compete for the same developer attention. Nearly all of these are cloud-first by default, with self-hosting available only as a secondary, often incomplete, option.</w:t>
      </w:r>
    </w:p>
    <w:p>
      <w:pPr>
        <w:spacing w:after="160" w:line="300"/>
      </w:pPr>
      <w:r>
        <w:rPr>
          <w:b w:val="false"/>
          <w:bCs w:val="false"/>
          <w:i w:val="false"/>
          <w:iCs w:val="false"/>
          <w:sz w:val="22"/>
          <w:szCs w:val="22"/>
        </w:rPr>
        <w:t xml:space="preserve">This creates a genuine opening for a platform built self-hosted-first from day one — not as an afterthought, but as the core design constraint — aimed specifically at startups and small teams who prioritize cost predictability and data control over the deepest possible feature set.</w:t>
      </w:r>
    </w:p>
    <w:p>
      <w:pPr>
        <w:pStyle w:val="Heading1"/>
        <w:spacing w:after="200" w:before="400"/>
      </w:pPr>
      <w:r>
        <w:t xml:space="preserve">4. Proposed Solution</w:t>
      </w:r>
    </w:p>
    <w:p>
      <w:pPr>
        <w:spacing w:after="160" w:line="300"/>
      </w:pPr>
      <w:r>
        <w:rPr>
          <w:b w:val="false"/>
          <w:bCs w:val="false"/>
          <w:i w:val="false"/>
          <w:iCs w:val="false"/>
          <w:sz w:val="22"/>
          <w:szCs w:val="22"/>
        </w:rPr>
        <w:t xml:space="preserve">Forge packages the full lifecycle of agent development — build, test, deploy, run, and monitor — into a single self-hosted stack. A developer defines an agent's role, goal, tools, and model in a version-controlled configuration file; the platform handles building, containerizing, deploying, and running it, alongside as many other agents as needed.</w:t>
      </w:r>
    </w:p>
    <w:p>
      <w:pPr>
        <w:spacing w:after="120" w:line="300"/>
      </w:pPr>
      <w:r>
        <w:rPr>
          <w:b w:val="false"/>
          <w:bCs w:val="false"/>
          <w:i w:val="false"/>
          <w:iCs w:val="false"/>
          <w:sz w:val="22"/>
          <w:szCs w:val="22"/>
        </w:rPr>
        <w:t xml:space="preserve">The platform is organized into four layers:</w:t>
      </w:r>
    </w:p>
    <w:p>
      <w:pPr>
        <w:pStyle w:val="Heading2"/>
        <w:spacing w:after="150" w:before="300"/>
      </w:pPr>
      <w:r>
        <w:t xml:space="preserve">4.1 Developer Workspace</w:t>
      </w:r>
    </w:p>
    <w:p>
      <w:pPr>
        <w:spacing w:after="160" w:line="300"/>
      </w:pPr>
      <w:r>
        <w:rPr>
          <w:b w:val="false"/>
          <w:bCs w:val="false"/>
          <w:i w:val="false"/>
          <w:iCs w:val="false"/>
          <w:sz w:val="22"/>
          <w:szCs w:val="22"/>
        </w:rPr>
        <w:t xml:space="preserve">A code editor and Git-based version control for agent definitions. Every agent is a versioned, diffable artifact — not a black-box configuration hidden in a UI.</w:t>
      </w:r>
    </w:p>
    <w:p>
      <w:pPr>
        <w:pStyle w:val="Heading2"/>
        <w:spacing w:after="150" w:before="300"/>
      </w:pPr>
      <w:r>
        <w:t xml:space="preserve">4.2 Build and Package</w:t>
      </w:r>
    </w:p>
    <w:p>
      <w:pPr>
        <w:spacing w:after="160" w:line="300"/>
      </w:pPr>
      <w:r>
        <w:rPr>
          <w:b w:val="false"/>
          <w:bCs w:val="false"/>
          <w:i w:val="false"/>
          <w:iCs w:val="false"/>
          <w:sz w:val="22"/>
          <w:szCs w:val="22"/>
        </w:rPr>
        <w:t xml:space="preserve">Docker containerizes each agent into a portable image; Kubernetes handles deployment, scaling, restarts, and isolation between agents so that many agents can run concurrently without resource conflicts.</w:t>
      </w:r>
    </w:p>
    <w:p>
      <w:pPr>
        <w:pStyle w:val="Heading2"/>
        <w:spacing w:after="150" w:before="300"/>
      </w:pPr>
      <w:r>
        <w:t xml:space="preserve">4.3 Agent Runtime</w:t>
      </w:r>
    </w:p>
    <w:p>
      <w:pPr>
        <w:spacing w:after="160" w:line="300"/>
      </w:pPr>
      <w:r>
        <w:rPr>
          <w:b w:val="false"/>
          <w:bCs w:val="false"/>
          <w:i w:val="false"/>
          <w:iCs w:val="false"/>
          <w:sz w:val="22"/>
          <w:szCs w:val="22"/>
        </w:rPr>
        <w:t xml:space="preserve">An orchestrator layer decides which agent (or chain of agents) handles an incoming task. Tool access is standardized through MCP (Model Context Protocol) servers, so new tools are plugged in once and become available to any agent, rather than requiring custom integration code per framework.</w:t>
      </w:r>
    </w:p>
    <w:p>
      <w:pPr>
        <w:pStyle w:val="Heading2"/>
        <w:spacing w:after="150" w:before="300"/>
      </w:pPr>
      <w:r>
        <w:t xml:space="preserve">4.4 Data and Inference Layer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0"/>
      </w:tblGrid>
      <w:tr>
        <w:trPr>
          <w:tblHeader/>
        </w:trPr>
        <w:tc>
          <w:tcPr>
            <w:tcW w:type="dxa" w:w="240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left"/>
            </w:pPr>
            <w:r>
              <w:rPr>
                <w:b/>
                <w:bCs/>
                <w:color w:val="0C447C"/>
                <w:sz w:val="20"/>
                <w:szCs w:val="20"/>
              </w:rPr>
              <w:t xml:space="preserve">Component</w:t>
            </w:r>
          </w:p>
        </w:tc>
        <w:tc>
          <w:tcPr>
            <w:tcW w:type="dxa" w:w="280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left"/>
            </w:pPr>
            <w:r>
              <w:rPr>
                <w:b/>
                <w:bCs/>
                <w:color w:val="0C447C"/>
                <w:sz w:val="20"/>
                <w:szCs w:val="20"/>
              </w:rPr>
              <w:t xml:space="preserve">Role</w:t>
            </w:r>
          </w:p>
        </w:tc>
        <w:tc>
          <w:tcPr>
            <w:tcW w:type="dxa" w:w="382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left"/>
            </w:pPr>
            <w:r>
              <w:rPr>
                <w:b/>
                <w:bCs/>
                <w:color w:val="0C447C"/>
                <w:sz w:val="20"/>
                <w:szCs w:val="20"/>
              </w:rPr>
              <w:t xml:space="preserve">Why it matters</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Ollama</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Local LLM inference</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No external API calls, no per-token cost, data stays on-premises</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Qdrant</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Vector memory / RAG</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Gives agents long-term and semantic memory</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Redis</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Cache, queue, state</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Fast state sharing between agents in a workflow</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PostgreSQL</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Structured data</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Agent configs, task history, logs, user accounts</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MinIO</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Object storage</w:t>
            </w:r>
          </w:p>
        </w:tc>
        <w:tc>
          <w:tcPr>
            <w:tcW w:type="dxa" w:w="38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Files and documents agents produce or consume</w:t>
            </w:r>
          </w:p>
        </w:tc>
      </w:tr>
    </w:tbl>
    <w:p>
      <w:pPr>
        <w:spacing w:after="100" w:line="300"/>
      </w:pPr>
      <w:r>
        <w:rPr>
          <w:b w:val="false"/>
          <w:bCs w:val="false"/>
          <w:i w:val="false"/>
          <w:iCs w:val="false"/>
          <w:sz w:val="22"/>
          <w:szCs w:val="22"/>
        </w:rPr>
        <w:t xml:space="preserve"/>
      </w:r>
    </w:p>
    <w:p>
      <w:pPr>
        <w:pStyle w:val="Heading1"/>
        <w:spacing w:after="200" w:before="400"/>
      </w:pPr>
      <w:r>
        <w:t xml:space="preserve">5. Core Differentiation</w:t>
      </w:r>
    </w:p>
    <w:p>
      <w:pPr>
        <w:spacing w:after="120" w:line="300"/>
      </w:pPr>
      <w:r>
        <w:rPr>
          <w:b w:val="false"/>
          <w:bCs w:val="false"/>
          <w:i w:val="false"/>
          <w:iCs w:val="false"/>
          <w:sz w:val="22"/>
          <w:szCs w:val="22"/>
        </w:rPr>
        <w:t xml:space="preserve">Self-hosting is common among open-source agent frameworks, but it is rarely the primary design constraint — most are built cloud-first with self-hosting as a secondary option. Forge inverts this: every default assumption is local-first.</w:t>
      </w:r>
    </w:p>
    <w:p>
      <w:pPr>
        <w:pStyle w:val="ListParagraph"/>
        <w:numPr>
          <w:ilvl w:val="0"/>
          <w:numId w:val="2"/>
        </w:numPr>
        <w:spacing w:after="100" w:line="300"/>
      </w:pPr>
      <w:r>
        <w:rPr>
          <w:sz w:val="22"/>
          <w:szCs w:val="22"/>
        </w:rPr>
        <w:t xml:space="preserve">Single-command deployment — a startup should be able to run one command and get a fully working multi-agent environment with local inference, memory, and tool access, with zero API keys required.</w:t>
      </w:r>
    </w:p>
    <w:p>
      <w:pPr>
        <w:pStyle w:val="ListParagraph"/>
        <w:numPr>
          <w:ilvl w:val="0"/>
          <w:numId w:val="2"/>
        </w:numPr>
        <w:spacing w:after="100" w:line="300"/>
      </w:pPr>
      <w:r>
        <w:rPr>
          <w:sz w:val="22"/>
          <w:szCs w:val="22"/>
        </w:rPr>
        <w:t xml:space="preserve">Cost predictability — no per-token billing; infrastructure cost is the only cost, which scales with usage in a way teams can forecast.</w:t>
      </w:r>
    </w:p>
    <w:p>
      <w:pPr>
        <w:pStyle w:val="ListParagraph"/>
        <w:numPr>
          <w:ilvl w:val="0"/>
          <w:numId w:val="2"/>
        </w:numPr>
        <w:spacing w:after="100" w:line="300"/>
      </w:pPr>
      <w:r>
        <w:rPr>
          <w:sz w:val="22"/>
          <w:szCs w:val="22"/>
        </w:rPr>
        <w:t xml:space="preserve">Data never leaves the team's infrastructure — relevant for startups handling sensitive customer data or operating in regulated spaces.</w:t>
      </w:r>
    </w:p>
    <w:p>
      <w:pPr>
        <w:pStyle w:val="ListParagraph"/>
        <w:numPr>
          <w:ilvl w:val="0"/>
          <w:numId w:val="2"/>
        </w:numPr>
        <w:spacing w:after="100" w:line="300"/>
      </w:pPr>
      <w:r>
        <w:rPr>
          <w:sz w:val="22"/>
          <w:szCs w:val="22"/>
        </w:rPr>
        <w:t xml:space="preserve">Native multi-agent deployment — built around running many agents concurrently and reliably via Kubernetes, not just prototyping one agent at a time.</w:t>
      </w:r>
    </w:p>
    <w:p>
      <w:pPr>
        <w:pStyle w:val="Heading1"/>
        <w:spacing w:after="200" w:before="400"/>
      </w:pPr>
      <w:r>
        <w:t xml:space="preserve">6. Minimum Viable Product Scope</w:t>
      </w:r>
    </w:p>
    <w:p>
      <w:pPr>
        <w:spacing w:after="120" w:line="300"/>
      </w:pPr>
      <w:r>
        <w:rPr>
          <w:b w:val="false"/>
          <w:bCs w:val="false"/>
          <w:i w:val="false"/>
          <w:iCs w:val="false"/>
          <w:sz w:val="22"/>
          <w:szCs w:val="22"/>
        </w:rPr>
        <w:t xml:space="preserve">To validate the idea quickly, the MVP intentionally excludes advanced orchestration patterns and focuses on proving the core loop: define an agent, deploy it locally, and have it complete a task end to end using local infrastructure only.</w:t>
      </w:r>
    </w:p>
    <w:p>
      <w:pPr>
        <w:pStyle w:val="ListParagraph"/>
        <w:numPr>
          <w:ilvl w:val="0"/>
          <w:numId w:val="3"/>
        </w:numPr>
        <w:spacing w:after="100" w:line="300"/>
      </w:pPr>
      <w:r>
        <w:rPr>
          <w:sz w:val="22"/>
          <w:szCs w:val="22"/>
        </w:rPr>
        <w:t xml:space="preserve">Agent definition format (YAML/JSON config: role, goal, model, tools, memory settings)</w:t>
      </w:r>
    </w:p>
    <w:p>
      <w:pPr>
        <w:pStyle w:val="ListParagraph"/>
        <w:numPr>
          <w:ilvl w:val="0"/>
          <w:numId w:val="3"/>
        </w:numPr>
        <w:spacing w:after="100" w:line="300"/>
      </w:pPr>
      <w:r>
        <w:rPr>
          <w:sz w:val="22"/>
          <w:szCs w:val="22"/>
        </w:rPr>
        <w:t xml:space="preserve">Single-agent runtime that loads a definition and executes a task loop against Ollama</w:t>
      </w:r>
    </w:p>
    <w:p>
      <w:pPr>
        <w:pStyle w:val="ListParagraph"/>
        <w:numPr>
          <w:ilvl w:val="0"/>
          <w:numId w:val="3"/>
        </w:numPr>
        <w:spacing w:after="100" w:line="300"/>
      </w:pPr>
      <w:r>
        <w:rPr>
          <w:sz w:val="22"/>
          <w:szCs w:val="22"/>
        </w:rPr>
        <w:t xml:space="preserve">One working MCP tool integration (e.g., a file or web-search tool) to prove the standardized tool-access pattern</w:t>
      </w:r>
    </w:p>
    <w:p>
      <w:pPr>
        <w:pStyle w:val="ListParagraph"/>
        <w:numPr>
          <w:ilvl w:val="0"/>
          <w:numId w:val="3"/>
        </w:numPr>
        <w:spacing w:after="100" w:line="300"/>
      </w:pPr>
      <w:r>
        <w:rPr>
          <w:sz w:val="22"/>
          <w:szCs w:val="22"/>
        </w:rPr>
        <w:t xml:space="preserve">Qdrant-backed memory for basic retrieval-augmented context</w:t>
      </w:r>
    </w:p>
    <w:p>
      <w:pPr>
        <w:pStyle w:val="ListParagraph"/>
        <w:numPr>
          <w:ilvl w:val="0"/>
          <w:numId w:val="3"/>
        </w:numPr>
        <w:spacing w:after="100" w:line="300"/>
      </w:pPr>
      <w:r>
        <w:rPr>
          <w:sz w:val="22"/>
          <w:szCs w:val="22"/>
        </w:rPr>
        <w:t xml:space="preserve">Docker Compose setup that brings up the full stack (Postgres, Qdrant, Redis, MinIO, Ollama) with one command</w:t>
      </w:r>
    </w:p>
    <w:p>
      <w:pPr>
        <w:pStyle w:val="ListParagraph"/>
        <w:numPr>
          <w:ilvl w:val="0"/>
          <w:numId w:val="3"/>
        </w:numPr>
        <w:spacing w:after="100" w:line="300"/>
      </w:pPr>
      <w:r>
        <w:rPr>
          <w:sz w:val="22"/>
          <w:szCs w:val="22"/>
        </w:rPr>
        <w:t xml:space="preserve">Basic Kubernetes deployment path for running the agent outside of local Docker Compose</w:t>
      </w:r>
    </w:p>
    <w:p>
      <w:pPr>
        <w:pStyle w:val="ListParagraph"/>
        <w:numPr>
          <w:ilvl w:val="0"/>
          <w:numId w:val="3"/>
        </w:numPr>
        <w:spacing w:after="100" w:line="300"/>
      </w:pPr>
      <w:r>
        <w:rPr>
          <w:sz w:val="22"/>
          <w:szCs w:val="22"/>
        </w:rPr>
        <w:t xml:space="preserve">Minimal CLI or dashboard to submit tasks and view agent output/logs</w:t>
      </w:r>
    </w:p>
    <w:p>
      <w:pPr>
        <w:spacing w:after="200" w:line="300"/>
      </w:pPr>
      <w:r>
        <w:rPr>
          <w:b w:val="false"/>
          <w:bCs w:val="false"/>
          <w:i w:val="false"/>
          <w:iCs w:val="false"/>
          <w:sz w:val="22"/>
          <w:szCs w:val="22"/>
        </w:rPr>
        <w:t xml:space="preserve">Multi-agent-to-agent handoff, advanced observability, and a polished UI are explicitly out of scope for the MVP and reserved for the post-validation roadmap below.</w:t>
      </w:r>
    </w:p>
    <w:p>
      <w:pPr>
        <w:pStyle w:val="Heading1"/>
        <w:spacing w:after="200" w:before="400"/>
      </w:pPr>
      <w:r>
        <w:t xml:space="preserve">7. Development Roadmap</w:t>
      </w:r>
    </w:p>
    <w:p>
      <w:pPr>
        <w:spacing w:after="120" w:line="300"/>
      </w:pPr>
      <w:r>
        <w:rPr>
          <w:b w:val="false"/>
          <w:bCs w:val="false"/>
          <w:i w:val="false"/>
          <w:iCs w:val="false"/>
          <w:sz w:val="22"/>
          <w:szCs w:val="22"/>
        </w:rPr>
        <w:t xml:space="preserve">Estimated for one full-time developer already comfortable with this stack, using Claude Code to accelerate scaffolding and integration work.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20"/>
      </w:tblGrid>
      <w:tr>
        <w:trPr>
          <w:tblHeader/>
        </w:trPr>
        <w:tc>
          <w:tcPr>
            <w:tcW w:type="dxa" w:w="320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left"/>
            </w:pPr>
            <w:r>
              <w:rPr>
                <w:b/>
                <w:bCs/>
                <w:color w:val="0C447C"/>
                <w:sz w:val="20"/>
                <w:szCs w:val="20"/>
              </w:rPr>
              <w:t xml:space="preserve">Phase</w:t>
            </w:r>
          </w:p>
        </w:tc>
        <w:tc>
          <w:tcPr>
            <w:tcW w:type="dxa" w:w="420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left"/>
            </w:pPr>
            <w:r>
              <w:rPr>
                <w:b/>
                <w:bCs/>
                <w:color w:val="0C447C"/>
                <w:sz w:val="20"/>
                <w:szCs w:val="20"/>
              </w:rPr>
              <w:t xml:space="preserve">Deliverable</w:t>
            </w:r>
          </w:p>
        </w:tc>
        <w:tc>
          <w:tcPr>
            <w:tcW w:type="dxa" w:w="162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center"/>
            </w:pPr>
            <w:r>
              <w:rPr>
                <w:b/>
                <w:bCs/>
                <w:color w:val="0C447C"/>
                <w:sz w:val="20"/>
                <w:szCs w:val="20"/>
              </w:rPr>
              <w:t xml:space="preserve">Duration</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1. Scaffolding</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Repo structure, Docker Compose for the full data stack, agent config schema</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3–5 days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2. Agent runtime core</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Orchestrator loads config, runs inference loop against Ollama</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1–1.5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3. MCP integration</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Standardized tool-calling through MCP servers</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4–6 days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4. Data layer wiring</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Qdrant memory, Redis state/queue, Postgres persistence, MinIO file I/O</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1–1.5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5. Build &amp; deploy pipeline</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Dockerfile templates, Kubernetes manifests, one-command deploy</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1–1.5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6. Multi-agent orchestration</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Agent-to-agent handoff, parallel execution, shared state</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1.5–2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7. Developer experience</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CLI/minimal UI, setup docs, example agents, basic observability</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1–1.5 wks</w:t>
            </w:r>
          </w:p>
        </w:tc>
      </w:tr>
      <w:tr>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8. Testing &amp; launch prep</w:t>
            </w:r>
          </w:p>
        </w:tc>
        <w:tc>
          <w:tcPr>
            <w:tcW w:type="dxa" w:w="4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End-to-end testing, README, demo, bug fixing</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20"/>
                <w:szCs w:val="20"/>
              </w:rPr>
              <w:t xml:space="preserve">1 wk</w:t>
            </w:r>
          </w:p>
        </w:tc>
      </w:tr>
    </w:tbl>
    <w:p>
      <w:pPr>
        <w:spacing w:after="80" w:line="300"/>
      </w:pPr>
      <w:r>
        <w:rPr>
          <w:b w:val="false"/>
          <w:bCs w:val="false"/>
          <w:i w:val="false"/>
          <w:iCs w:val="false"/>
          <w:sz w:val="22"/>
          <w:szCs w:val="22"/>
        </w:rPr>
        <w:t xml:space="preserve"/>
      </w:r>
    </w:p>
    <w:p>
      <w:pPr>
        <w:spacing w:after="200" w:line="300"/>
      </w:pPr>
      <w:r>
        <w:rPr>
          <w:b w:val="false"/>
          <w:bCs w:val="false"/>
          <w:i w:val="false"/>
          <w:iCs w:val="false"/>
          <w:sz w:val="22"/>
          <w:szCs w:val="22"/>
        </w:rPr>
        <w:t xml:space="preserve">Total estimated time: 8–11 weeks full-time for a complete, demo-ready v1. A minimal single-agent prototype (proving the core loop only) can be reached in 3–4 weeks and is recommended as an early validation checkpoint before committing to the full roadmap.</w:t>
      </w:r>
    </w:p>
    <w:p>
      <w:pPr>
        <w:pStyle w:val="Heading1"/>
        <w:spacing w:after="200" w:before="400"/>
      </w:pPr>
      <w:r>
        <w:t xml:space="preserve">8. Competitive Landscape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0"/>
      </w:tblGrid>
      <w:tr>
        <w:trPr>
          <w:tblHeader/>
        </w:trPr>
        <w:tc>
          <w:tcPr>
            <w:tcW w:type="dxa" w:w="220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left"/>
            </w:pPr>
            <w:r>
              <w:rPr>
                <w:b/>
                <w:bCs/>
                <w:color w:val="0C447C"/>
                <w:sz w:val="20"/>
                <w:szCs w:val="20"/>
              </w:rPr>
              <w:t xml:space="preserve">Platform</w:t>
            </w:r>
          </w:p>
        </w:tc>
        <w:tc>
          <w:tcPr>
            <w:tcW w:type="dxa" w:w="360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left"/>
            </w:pPr>
            <w:r>
              <w:rPr>
                <w:b/>
                <w:bCs/>
                <w:color w:val="0C447C"/>
                <w:sz w:val="20"/>
                <w:szCs w:val="20"/>
              </w:rPr>
              <w:t xml:space="preserve">Category</w:t>
            </w:r>
          </w:p>
        </w:tc>
        <w:tc>
          <w:tcPr>
            <w:tcW w:type="dxa" w:w="3220"/>
            <w:tcBorders>
              <w:top w:val="single" w:color="B4B2A9" w:sz="4"/>
              <w:left w:val="single" w:color="B4B2A9" w:sz="4"/>
              <w:bottom w:val="single" w:color="B4B2A9" w:sz="4"/>
              <w:right w:val="single" w:color="B4B2A9" w:sz="4"/>
            </w:tcBorders>
            <w:shd w:fill="E6F1FB" w:val="clear"/>
            <w:tcMar>
              <w:top w:type="dxa" w:w="80"/>
              <w:left w:type="dxa" w:w="120"/>
              <w:bottom w:type="dxa" w:w="80"/>
              <w:right w:type="dxa" w:w="120"/>
            </w:tcMar>
            <w:vAlign w:val="center"/>
          </w:tcPr>
          <w:p>
            <w:pPr>
              <w:jc w:val="left"/>
            </w:pPr>
            <w:r>
              <w:rPr>
                <w:b/>
                <w:bCs/>
                <w:color w:val="0C447C"/>
                <w:sz w:val="20"/>
                <w:szCs w:val="20"/>
              </w:rPr>
              <w:t xml:space="preserve">Where Forge differs</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LangGraph</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Code-first, stateful graph orchestration, strong enterprise adoption</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Cloud-model-assumed by default; Forge is local-inference-first</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CrewAI</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Code-first, role-based multi-agent prototyping</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Optimized for fast prototyping, not bundled self-hosted deployment infra</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Dify</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Visual/low-code builder, strong for RAG workflows</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Open-core with paid cloud tier; Forge is fully self-hosted end to end</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Sim</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Full-stack AI workspace bundling collaboration and deployment</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20"/>
                <w:szCs w:val="20"/>
              </w:rPr>
              <w:t xml:space="preserve">Closest positioning; Forge differentiates on zero-cloud-dependency defaults</w:t>
            </w:r>
          </w:p>
        </w:tc>
      </w:tr>
    </w:tbl>
    <w:p>
      <w:pPr>
        <w:spacing w:after="200" w:line="300"/>
      </w:pPr>
      <w:r>
        <w:rPr>
          <w:b w:val="false"/>
          <w:bCs w:val="false"/>
          <w:i w:val="false"/>
          <w:iCs w:val="false"/>
          <w:sz w:val="22"/>
          <w:szCs w:val="22"/>
        </w:rPr>
        <w:t xml:space="preserve"/>
      </w:r>
    </w:p>
    <w:p>
      <w:pPr>
        <w:pStyle w:val="Heading1"/>
        <w:spacing w:after="200" w:before="400"/>
      </w:pPr>
      <w:r>
        <w:t xml:space="preserve">9. Risks and Mitigations</w:t>
      </w:r>
    </w:p>
    <w:p>
      <w:pPr>
        <w:pStyle w:val="ListParagraph"/>
        <w:numPr>
          <w:ilvl w:val="0"/>
          <w:numId w:val="2"/>
        </w:numPr>
        <w:spacing w:after="100" w:line="300"/>
      </w:pPr>
      <w:r>
        <w:rPr>
          <w:sz w:val="22"/>
          <w:szCs w:val="22"/>
        </w:rPr>
        <w:t xml:space="preserve">Scope creep — the temptation to match every feature of established frameworks. Mitigation: hold strictly to the MVP scope in Section 6 before adding anything else.</w:t>
      </w:r>
    </w:p>
    <w:p>
      <w:pPr>
        <w:pStyle w:val="ListParagraph"/>
        <w:numPr>
          <w:ilvl w:val="0"/>
          <w:numId w:val="2"/>
        </w:numPr>
        <w:spacing w:after="100" w:line="300"/>
      </w:pPr>
      <w:r>
        <w:rPr>
          <w:sz w:val="22"/>
          <w:szCs w:val="22"/>
        </w:rPr>
        <w:t xml:space="preserve">Multi-agent orchestration complexity — coordinating state and failure handling across agents is harder than it appears. Mitigation: validate single-agent flow first; treat orchestration as its own phase with buffer time.</w:t>
      </w:r>
    </w:p>
    <w:p>
      <w:pPr>
        <w:pStyle w:val="ListParagraph"/>
        <w:numPr>
          <w:ilvl w:val="0"/>
          <w:numId w:val="2"/>
        </w:numPr>
        <w:spacing w:after="100" w:line="300"/>
      </w:pPr>
      <w:r>
        <w:rPr>
          <w:sz w:val="22"/>
          <w:szCs w:val="22"/>
        </w:rPr>
        <w:t xml:space="preserve">Local inference performance — smaller local models may underperform larger cloud models on complex tasks. Mitigation: design the model layer to be swappable, so teams can opt into a cloud model per-agent if needed without changing the platform.</w:t>
      </w:r>
    </w:p>
    <w:p>
      <w:pPr>
        <w:pStyle w:val="ListParagraph"/>
        <w:numPr>
          <w:ilvl w:val="[object Object]"/>
          <w:numId w:val="2"/>
        </w:numPr>
        <w:spacing w:after="100" w:line="300"/>
      </w:pPr>
      <w:r>
        <w:rPr>
          <w:sz w:val="22"/>
          <w:szCs w:val="22"/>
        </w:rPr>
        <w:t xml:space="preserve">Competitive saturation — the agent framework space is crowded and evolves quickly. Mitigation: stay narrowly focused on the self-hosted, startup-first wedge rather than competing broadly.</w:t>
      </w:r>
    </w:p>
    <w:p>
      <w:pPr>
        <w:pStyle w:val="Heading1"/>
        <w:spacing w:after="200" w:before="400"/>
      </w:pPr>
      <w:r>
        <w:t xml:space="preserve">10. Conclusion and Next Steps</w:t>
      </w:r>
    </w:p>
    <w:p>
      <w:pPr>
        <w:spacing w:after="160" w:line="300"/>
      </w:pPr>
      <w:r>
        <w:rPr>
          <w:b w:val="false"/>
          <w:bCs w:val="false"/>
          <w:i w:val="false"/>
          <w:iCs w:val="false"/>
          <w:sz w:val="22"/>
          <w:szCs w:val="22"/>
        </w:rPr>
        <w:t xml:space="preserve">Forge addresses a real and growing gap: a genuinely self-hosted, startup-friendly platform for building and deploying multiple AI agents without cloud dependency or per-token cost. The market for agent tooling is large and expanding quickly, but nearly every major platform treats self-hosting as a secondary option rather than the core design principle.</w:t>
      </w:r>
    </w:p>
    <w:p>
      <w:pPr>
        <w:spacing w:after="100" w:line="300"/>
      </w:pPr>
      <w:r>
        <w:rPr>
          <w:b w:val="false"/>
          <w:bCs w:val="false"/>
          <w:i w:val="false"/>
          <w:iCs w:val="false"/>
          <w:sz w:val="22"/>
          <w:szCs w:val="22"/>
        </w:rPr>
        <w:t xml:space="preserve">The recommended path forward is to build the 3–4 week single-agent prototype first (Section 6, items 1–4) to validate the core technical loop, then proceed through the full roadmap toward a demo-ready v1 within 8–11 weeks.</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FORGE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2026-07-20T10:10:57.695Z</dcterms:created>
  <dcterms:modified xsi:type="dcterms:W3CDTF">2026-07-20T10:10:57.707Z</dcterms:modified>
</cp:coreProperties>
</file>

<file path=docProps/custom.xml><?xml version="1.0" encoding="utf-8"?>
<Properties xmlns="http://schemas.openxmlformats.org/officeDocument/2006/custom-properties" xmlns:vt="http://schemas.openxmlformats.org/officeDocument/2006/docPropsVTypes"/>
</file>