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A1A2E"/>
          <w:sz w:val="44"/>
          <w:szCs w:val="44"/>
        </w:rPr>
        <w:t xml:space="preserve">PRODUCT COST DOCUMENT</w:t>
      </w:r>
    </w:p>
    <w:p>
      <w:pPr>
        <w:spacing w:after="600"/>
        <w:jc w:val="center"/>
      </w:pPr>
      <w:r>
        <w:rPr>
          <w:b/>
          <w:bCs/>
          <w:color w:val="B8860B"/>
          <w:sz w:val="32"/>
          <w:szCs w:val="32"/>
        </w:rPr>
        <w:t xml:space="preserve">Multi-Chain Crypto Payment Gateway</w:t>
      </w:r>
    </w:p>
    <w:p>
      <w:pPr>
        <w:spacing w:after="2000"/>
        <w:jc w:val="center"/>
      </w:pPr>
      <w:r>
        <w:rPr>
          <w:i/>
          <w:iCs/>
          <w:color w:val="666666"/>
          <w:sz w:val="22"/>
          <w:szCs w:val="22"/>
        </w:rPr>
        <w:t xml:space="preserve">A complete, itemized cost breakdown — developer compensation, tools, infrastructure, security, and compliance kept separate.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Draft for client review — planning-level estimate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Companion Documents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PRD v1.0; Technical Architecture v1.0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Product &amp; Finance Team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2026-08-08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1. Purpose &amp; Scope of This Document</w:t>
      </w:r>
    </w:p>
    <w:p>
      <w:pPr>
        <w:spacing w:after="160" w:line="276"/>
      </w:pPr>
      <w:r>
        <w:rPr>
          <w:sz w:val="21"/>
          <w:szCs w:val="21"/>
        </w:rPr>
        <w:t xml:space="preserve">This Product Cost Document (PCD) itemizes every category of spend required to build, launch, and operate the Multi-Chain Crypto Payment Gateway defined in the companion PRD and Technical Architecture Document. It exists to answer a single question for every stakeholder: what does each part of this product actually cost, and where does that money go?</w:t>
      </w:r>
    </w:p>
    <w:p>
      <w:pPr>
        <w:spacing w:after="160" w:line="276"/>
      </w:pPr>
      <w:r>
        <w:rPr>
          <w:sz w:val="21"/>
          <w:szCs w:val="21"/>
        </w:rPr>
        <w:t xml:space="preserve">Costs are deliberately kept in separate categories rather than one blended number, so a client or investor can see, at a glance, what portion of spend is developer/team compensation versus third-party tools, infrastructure, security, and compliance. Each category can be scaled, renegotiated, or re-sourced independently.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2. How Costs Are Organized</w:t>
      </w:r>
    </w:p>
    <w:p>
      <w:pPr>
        <w:spacing w:after="160" w:line="276"/>
      </w:pPr>
      <w:r>
        <w:rPr>
          <w:sz w:val="21"/>
          <w:szCs w:val="21"/>
        </w:rPr>
        <w:t xml:space="preserve">Every dollar in this document falls into one of eight categories: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Developer &amp; Team Compensation — what people building the product are paid, kept fully separate from tools and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Development Tools &amp; Software — recurring subscriptions the team uses to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Cloud &amp; Deployment Infrastructure — what it costs to run the product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Third-Party Blockchain Infrastructure Services — RPC access, routing aggregators, account abstraction infra, custody.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Security — audits, bug bounty, penetration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Compliance &amp; Legal — KYC/AML vendors, licensing, legal counsel.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Treasury &amp; Working Capital — capital reserves required to operate, not P&amp;L expenses.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Marketing &amp; Launch — brand, website, go-to-market spend.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3. Developer &amp; Team Compensation</w:t>
      </w:r>
    </w:p>
    <w:p>
      <w:pPr>
        <w:spacing w:after="160" w:line="276"/>
      </w:pPr>
      <w:r>
        <w:rPr>
          <w:sz w:val="21"/>
          <w:szCs w:val="21"/>
        </w:rPr>
        <w:t xml:space="preserve">This section is kept fully separate from tools/services spend below, per the requirement that developer pay and service costs never blend into one line.</w:t>
      </w: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3.1 Core Team Roles &amp; Estimated Rates</w:t>
      </w:r>
    </w:p>
    <w:p>
      <w:pPr>
        <w:spacing w:after="160" w:line="276"/>
      </w:pPr>
      <w:r>
        <w:rPr>
          <w:i/>
          <w:iCs/>
          <w:color w:val="666666"/>
          <w:sz w:val="19"/>
          <w:szCs w:val="19"/>
        </w:rPr>
        <w:t xml:space="preserve">Rates reflect blended 2026 market data across contractor marketplaces (Upwork, Toptal, Arc.dev) and in-house US salary benchmarks. Actual cost depends heavily on seniority, location, and in-house vs. contract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500"/>
        <w:gridCol w:w="1260"/>
        <w:gridCol w:w="2000"/>
      </w:tblGrid>
      <w:tr>
        <w:trPr>
          <w:cantSplit/>
          <w:tblHeader/>
        </w:trPr>
        <w:tc>
          <w:tcPr>
            <w:tcW w:type="dxa" w:w="27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9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Engagement Model</w:t>
            </w:r>
          </w:p>
        </w:tc>
        <w:tc>
          <w:tcPr>
            <w:tcW w:type="dxa" w:w="15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Rate Range</w:t>
            </w:r>
          </w:p>
        </w:tc>
        <w:tc>
          <w:tcPr>
            <w:tcW w:type="dxa" w:w="12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Headcount (MVP)</w:t>
            </w:r>
          </w:p>
        </w:tc>
        <w:tc>
          <w:tcPr>
            <w:tcW w:type="dxa" w:w="20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Product Manager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In-house or contract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$60–$100/hr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$8,000–$14,000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Lead Blockchain / Smart Contract Engineer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Senior contract or in-house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$100–$200/hr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$14,000–$24,000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Blockchain Engineer (supporting)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Contract or in-house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$70–$130/hr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$10,000–$18,000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Backend Engineer (routing, ledger, APIs)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In-house or contract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$50–$110/hr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$16,000–$32,000 (both)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Frontend Engineer (dashboard, checkout widget)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In-house or contract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$40–$90/hr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$6,000–$12,000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DevOps / Infrastructure Engineer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In-house or contract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$60–$120/hr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$8,000–$14,000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QA / Test Engineer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Contract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$30–$60/hr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$4,000–$8,000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Security Engineer (contract review, audit liaison)</w:t>
            </w:r>
          </w:p>
        </w:tc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Part-time consulting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$100–$180/hr</w:t>
            </w:r>
          </w:p>
        </w:tc>
        <w:tc>
          <w:tcPr>
            <w:tcW w:type="dxa" w:w="1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$4,500–$9,000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Compliance / Legal Advisor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Retainer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$150–$400/hr</w:t>
            </w:r>
          </w:p>
        </w:tc>
        <w:tc>
          <w:tcPr>
            <w:tcW w:type="dxa" w:w="1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$5,000–$15,000 (retainer)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3.2 In-House vs. Contractor — Trade-offs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In-house (salaried): higher fixed cost, but stronger continuity, IP control, and institutional knowledge — typically preferred for the Lead Blockchain Engineer and DevOps roles given the security stakes.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Contract/freelance: lower commitment and faster ramp-up/down, well suited to Frontend, QA, and short-term security consulting.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Offshore/nearshore engineering: can reduce blended team cost by 30–50% versus an all-US-senior team, at the cost of timezone overlap and slightly longer onboarding.</w:t>
      </w: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3.3 Estimated Monthly Payroll Range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Summing the table above across the MVP headcount: approximately $70,000–$150,000 per month, depending on the in-house/contractor mix and location strategy chosen.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4. Development Tools &amp; Software</w:t>
      </w:r>
    </w:p>
    <w:p>
      <w:pPr>
        <w:spacing w:after="160" w:line="276"/>
      </w:pPr>
      <w:r>
        <w:rPr>
          <w:sz w:val="21"/>
          <w:szCs w:val="21"/>
        </w:rPr>
        <w:t xml:space="preserve">Recurring subscriptions the team needs to build and maintain the product. Kept separate from infrastructure (§5) and blockchain-specific services (§6).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00"/>
        <w:gridCol w:w="2360"/>
      </w:tblGrid>
      <w:tr>
        <w:trPr>
          <w:cantSplit/>
          <w:tblHeader/>
        </w:trPr>
        <w:tc>
          <w:tcPr>
            <w:tcW w:type="dxa" w:w="27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3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Tool(s)</w:t>
            </w:r>
          </w:p>
        </w:tc>
        <w:tc>
          <w:tcPr>
            <w:tcW w:type="dxa" w:w="23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Source control &amp; CI/CD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GitHub Team/Enterprise + Actions minutes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$50–$300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Linear, Jira, or similar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$50–$200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Design &amp; prototyping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Figma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$50–$150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Error monitoring / APM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Sentry or equivalent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$30–$300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API docs &amp; testing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Postman/ReadMe or equivalent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$50–$200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Team communication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Slack or equivalent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$50–$150</w:t>
            </w:r>
          </w:p>
        </w:tc>
      </w:tr>
      <w:tr>
        <w:trPr>
          <w:cantSplit/>
        </w:trPr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Code &amp; dependency security scanning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Snyk, Semgrep, or equivalent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$100–$500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Misc. IDE / dev tooling licenses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JetBrains, Copilot, etc. (team-wide)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$50–$200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5. Cloud &amp; Deployment Infrastructure</w:t>
      </w:r>
    </w:p>
    <w:p>
      <w:pPr>
        <w:spacing w:after="160" w:line="276"/>
      </w:pPr>
      <w:r>
        <w:rPr>
          <w:sz w:val="21"/>
          <w:szCs w:val="21"/>
        </w:rPr>
        <w:t xml:space="preserve">What it costs to actually run the product — scales with transaction volume, so ranges widen as the product grows past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cantSplit/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3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Compute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Kubernetes cluster on AWS/GCP/Azure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$1,500–$8,000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Managed database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Postgres (RDS/Aurora or equivalent)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$300–$2,000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CDN &amp; load balancing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CloudFront/Cloudflare or equivalent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$100–$500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Observability stack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Datadog, Grafana Cloud, or equivalent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$300–$2,000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Backup &amp; disaster recovery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Automated snapshots, cross-region replication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$200–$800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Staging / sandbox environment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Mirrors production at reduced scale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$500–$1,500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6. Third-Party Blockchain Infrastructure Services</w:t>
      </w:r>
    </w:p>
    <w:p>
      <w:pPr>
        <w:spacing w:after="160" w:line="276"/>
      </w:pPr>
      <w:r>
        <w:rPr>
          <w:sz w:val="21"/>
          <w:szCs w:val="21"/>
        </w:rPr>
        <w:t xml:space="preserve">The specialized, crypto-specific services the architecture depends on — distinct from generic cloud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cantSplit/>
          <w:tblHeader/>
        </w:trPr>
        <w:tc>
          <w:tcPr>
            <w:tcW w:type="dxa" w:w="2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 Examples / Notes</w:t>
            </w:r>
          </w:p>
        </w:tc>
        <w:tc>
          <w:tcPr>
            <w:tcW w:type="dxa" w:w="23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Monthly Cost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RPC node access (multi-chain)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Alchemy, Infura, QuickNode, or equivalent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$500–$5,000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Bridge/DEX aggregator API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LI.FI, Socket, Across, Squid — often free or rev-share at low volume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$0–$2,000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Account abstraction / paymaster infra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Biconomy, Pimlico, ZeroDev, or equivalent (excludes sponsored gas itself)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$500–$3,000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Chain indexing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The Graph, Goldsky, or provider webhooks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$200–$1,500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MPC / custody infrastructure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Fireblocks, Copper, or equivalent enterprise custody platform</w:t>
            </w:r>
          </w:p>
        </w:tc>
        <w:tc>
          <w:tcPr>
            <w:tcW w:type="dxa" w:w="2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$2,000–$10,000+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Treasury / OTC market-maker integration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Typically fee-based (basis points on volume), not a fixed subscription</w:t>
            </w:r>
          </w:p>
        </w:tc>
        <w:tc>
          <w:tcPr>
            <w:tcW w:type="dxa" w:w="2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Volume-based (see §9)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7. Security Costs</w:t>
      </w:r>
    </w:p>
    <w:p>
      <w:pPr>
        <w:spacing w:after="160" w:line="276"/>
      </w:pPr>
      <w:r>
        <w:rPr>
          <w:sz w:val="21"/>
          <w:szCs w:val="21"/>
        </w:rPr>
        <w:t xml:space="preserve">Non-negotiable given the product custodies and routes customer funds. Figures are grounded in 2026 market pricing for mid-complexity multi-chain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cantSplit/>
          <w:tblHeader/>
        </w:trPr>
        <w:tc>
          <w:tcPr>
            <w:tcW w:type="dxa" w:w="26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5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Smart contract audit — initial round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Deposit-address contracts, treasury/settlement logic (mid-complexity scope)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$40,000–$90,000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Smart contract audit — remediation review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Re-audit of fixes from initial round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$10,000–$25,000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Penetration testing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API, dashboard, and infrastructure pen test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$10,000–$25,000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Bug bounty reserve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Funded pool (Immunefi or equivalent); paid only on valid findings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$50,000–$150,000 reserved</w:t>
            </w:r>
          </w:p>
        </w:tc>
      </w:tr>
    </w:tbl>
    <w:p>
      <w:pPr>
        <w:spacing w:after="160" w:line="276"/>
      </w:pPr>
      <w:r>
        <w:rPr>
          <w:i/>
          <w:iCs/>
          <w:color w:val="666666"/>
          <w:sz w:val="19"/>
          <w:szCs w:val="19"/>
        </w:rPr>
        <w:t xml:space="preserve">Bridges, treasury logic, and deposit-address contracts sit at the higher end of audit complexity; a simple single-purpose token contract would cost less, but this product's routing/settlement logic does not qualify as simple.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8. Compliance &amp; Legal Costs</w:t>
      </w:r>
    </w:p>
    <w:p>
      <w:pPr>
        <w:spacing w:after="160" w:line="276"/>
      </w:pPr>
      <w:r>
        <w:rPr>
          <w:sz w:val="21"/>
          <w:szCs w:val="21"/>
        </w:rPr>
        <w:t xml:space="preserve">The widest-ranging cost category in this document, because it depends entirely on a strategic choice: license the business directly in every state, or settle through an already-licensed partner.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00"/>
        <w:gridCol w:w="2460"/>
      </w:tblGrid>
      <w:tr>
        <w:trPr>
          <w:cantSplit/>
          <w:tblHeader/>
        </w:trPr>
        <w:tc>
          <w:tcPr>
            <w:tcW w:type="dxa" w:w="30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9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 / Notes</w:t>
            </w:r>
          </w:p>
        </w:tc>
        <w:tc>
          <w:tcPr>
            <w:tcW w:type="dxa" w:w="24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Cost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FinCEN MSB registration &amp; AML program setup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One-time consulting + program build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$15,000–$75,000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Sanctions/KYC screening — early stage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API-first wallet risk scoring tool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$600–$3,000 /yr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Sanctions/KYC screening — mid-market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TRM Labs or equivalent, moderate deployment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$60,000–$150,000 /yr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Sanctions/KYC screening — enterprise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Chainalysis or equivalent, full deployment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$150,000–$300,000 /yr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State money transmitter licensing (per state, self-filed)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Application fee + surety bond + legal support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$30,000–$525,000+ per state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State money transmitter licensing (nationwide, self-filed)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All ~49 applicable states, upfront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$250,000–$435,000+, then $225,000+/yr maintenance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Licensed partner / BaaS route (alternative)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Settle through an already-licensed payments partner instead of self-filing</w:t>
            </w:r>
          </w:p>
        </w:tc>
        <w:tc>
          <w:tcPr>
            <w:tcW w:type="dxa" w:w="24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Platform/rev-share fee instead of licensing capex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Ongoing legal counsel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Corporate, contracts, regulatory advisory retainer</w:t>
            </w:r>
          </w:p>
        </w:tc>
        <w:tc>
          <w:tcPr>
            <w:tcW w:type="dxa" w:w="2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$5,000–$20,000 /mo</w:t>
            </w:r>
          </w:p>
        </w:tc>
      </w:tr>
    </w:tbl>
    <w:p>
      <w:pPr>
        <w:spacing w:after="160" w:line="276"/>
      </w:pPr>
      <w:r>
        <w:rPr>
          <w:i/>
          <w:iCs/>
          <w:color w:val="666666"/>
          <w:sz w:val="19"/>
          <w:szCs w:val="19"/>
        </w:rPr>
        <w:t xml:space="preserve">Recommendation: launch Phase 1 through a licensed payments partner (BaaS model) rather than self-filing state money transmitter licenses. This avoids $250K+ in upfront licensing capital before the product has proven demand, at the cost of a revenue share to the partner.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9. Treasury &amp; Working Capital Requirements</w:t>
      </w:r>
    </w:p>
    <w:p>
      <w:pPr>
        <w:spacing w:after="160" w:line="276"/>
      </w:pPr>
      <w:r>
        <w:rPr>
          <w:sz w:val="21"/>
          <w:szCs w:val="21"/>
        </w:rPr>
        <w:t xml:space="preserve">These are capital requirements, not expenses — they must be funded (via raised capital or reserved revenue) but are not burned like the costs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cantSplit/>
          <w:tblHeader/>
        </w:trPr>
        <w:tc>
          <w:tcPr>
            <w:tcW w:type="dxa" w:w="26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2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5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Amount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Rate-lock / settlement buffer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Liquid reserve sized to absorb quote-to-settlement price movement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~10–20% of average daily settlement volume, held liquid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Gas-sponsorship float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Revolving balance to front gas before reclaiming from settlement, per active chain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$10,000–$50,000 per chain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Surety bonds (if self-filing MTLs)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Capital tied up as a bond condition, per state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$25,000–$500,000+ per state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10. Marketing &amp;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Brand identity, website, and merchant-facing marketing materials: $10,000–$40,000 one-time.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Launch campaign / early merchant acquisition (content, partnerships, paid channels): $5,000–$30,000 discretionary.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11. Cost Summary — One-Time vs. Recurring</w:t>
      </w: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11.1 One-Time / Upfront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cantSplit/>
          <w:tblHeader/>
        </w:trPr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Security (initial audit + remediation + pen test)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$140,000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Bug bounty reserve (funded pool)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FinCEN registration &amp; AML program setup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$75,000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Brand, website &amp; launch marketing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$70,000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Initial cloud/infra setup &amp; hardening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$30,000</w:t>
            </w:r>
          </w:p>
        </w:tc>
      </w:tr>
      <w:tr>
        <w:trPr>
          <w:cantSplit/>
        </w:trPr>
        <w:tc>
          <w:tcPr>
            <w:tcW w:type="dxa" w:w="480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Total (excluding licensing capex)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$150,000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$465,000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11.2 Recurring Monthly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cantSplit/>
          <w:tblHeader/>
        </w:trPr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 (/mo)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 (/mo)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Team / developer compensation (§3)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$70,000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Development tools &amp; software (§4)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$430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 &amp; deployment infrastructure (§5)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$2,900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$14,800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Third-party blockchain infrastructure (§6)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$3,200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$21,500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Compliance vendor + legal retainer (§8)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$5,600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$32,000</w:t>
            </w:r>
          </w:p>
        </w:tc>
      </w:tr>
      <w:tr>
        <w:trPr>
          <w:cantSplit/>
        </w:trPr>
        <w:tc>
          <w:tcPr>
            <w:tcW w:type="dxa" w:w="480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Total per month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$82,130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$220,300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12. Phase-Wise Budget Breakdown</w:t>
      </w:r>
    </w:p>
    <w:p>
      <w:pPr>
        <w:spacing w:after="160" w:line="276"/>
      </w:pPr>
      <w:r>
        <w:rPr>
          <w:sz w:val="21"/>
          <w:szCs w:val="21"/>
        </w:rPr>
        <w:t xml:space="preserve">Mapped directly to the release plan in the companion PRD (§14).</w:t>
      </w: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12.1 Phase 1 — MVP (~5–6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cantSplit/>
          <w:tblHeader/>
        </w:trPr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Developer &amp; team compensation (~5.5 months)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$385,000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$825,000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Tools &amp; software (~6 months)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$12,000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Cloud infrastructure (~6 months, ramping)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$12,000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$45,000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Blockchain infrastructure services (~6 months)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Security: initial audit + pen test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$115,000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Compliance: FinCEN + lightweight KYC tool + legal retainer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$55,000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$140,000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Launch prep (brand/website)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$50,000</w:t>
            </w:r>
          </w:p>
        </w:tc>
      </w:tr>
      <w:tr>
        <w:trPr>
          <w:cantSplit/>
        </w:trPr>
        <w:tc>
          <w:tcPr>
            <w:tcW w:type="dxa" w:w="480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1 Total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$535,000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$1,247,000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12.2 Phase 2 — Recovery, Expansion, KYC (~4–6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cantSplit/>
          <w:tblHeader/>
        </w:trPr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Developer &amp; team compensation (~5 months, modest scale-up)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$400,000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$750,000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Infrastructure scaling (cloud + chain services)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Security: follow-up audit of recovery/routing logic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$25,000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Compliance: upgrade to mid-market KYC vendor + 2–3 state licenses or continued partner route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$60,000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$220,000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Legal retainer (~5 months)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$25,000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$100,000</w:t>
            </w:r>
          </w:p>
        </w:tc>
      </w:tr>
      <w:tr>
        <w:trPr>
          <w:cantSplit/>
        </w:trPr>
        <w:tc>
          <w:tcPr>
            <w:tcW w:type="dxa" w:w="480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2 Total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$570,000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$1,280,000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1A1A2E"/>
          <w:sz w:val="24"/>
          <w:szCs w:val="24"/>
        </w:rPr>
        <w:t xml:space="preserve">12.3 Phase 3 — Fiat Off-Ramp, Travel Rule, Nationwide Licensing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80"/>
        <w:gridCol w:w="2280"/>
      </w:tblGrid>
      <w:tr>
        <w:trPr>
          <w:cantSplit/>
          <w:tblHeader/>
        </w:trPr>
        <w:tc>
          <w:tcPr>
            <w:tcW w:type="dxa" w:w="4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228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Nationwide/expanded licensing (if moving off partner route)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$250,000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$435,000+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Enterprise compliance vendor (annual)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$150,000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$300,000</w:t>
            </w:r>
          </w:p>
        </w:tc>
      </w:tr>
      <w:tr>
        <w:trPr>
          <w:cantSplit/>
        </w:trPr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Travel Rule integration &amp; fiat off-ramp partner integration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$40,000</w:t>
            </w:r>
          </w:p>
        </w:tc>
        <w:tc>
          <w:tcPr>
            <w:tcW w:type="dxa" w:w="22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$120,000</w:t>
            </w:r>
          </w:p>
        </w:tc>
      </w:tr>
      <w:tr>
        <w:trPr>
          <w:cantSplit/>
        </w:trPr>
        <w:tc>
          <w:tcPr>
            <w:tcW w:type="dxa" w:w="4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Continued team &amp; infrastructure scaling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$500,000</w:t>
            </w:r>
          </w:p>
        </w:tc>
        <w:tc>
          <w:tcPr>
            <w:tcW w:type="dxa" w:w="22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$900,000</w:t>
            </w:r>
          </w:p>
        </w:tc>
      </w:tr>
      <w:tr>
        <w:trPr>
          <w:cantSplit/>
        </w:trPr>
        <w:tc>
          <w:tcPr>
            <w:tcW w:type="dxa" w:w="480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Phase 3 Total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$940,000</w:t>
            </w:r>
          </w:p>
        </w:tc>
        <w:tc>
          <w:tcPr>
            <w:tcW w:type="dxa" w:w="2280"/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$1,755,000+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13. Total Estimated Budget Range — Year 1</w:t>
      </w:r>
    </w:p>
    <w:p>
      <w:pPr>
        <w:spacing w:after="160" w:line="276"/>
      </w:pPr>
      <w:r>
        <w:rPr>
          <w:sz w:val="21"/>
          <w:szCs w:val="21"/>
        </w:rPr>
        <w:t xml:space="preserve">Assuming Year 1 covers Phase 1 and Phase 2 (Phase 3 typically begins once fiat off-ramp and nationwide licensing are commercially justified):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cantSplit/>
          <w:tblHeader/>
        </w:trPr>
        <w:tc>
          <w:tcPr>
            <w:tcW w:type="dxa" w:w="18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60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60"/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Estimated Total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Low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Offshore-leaning team, licensed-partner compliance route, minimal audit scope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~$1,105,000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Mid</w:t>
            </w:r>
          </w:p>
        </w:tc>
        <w:tc>
          <w:tcPr>
            <w:tcW w:type="dxa" w:w="4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Blended in-house/contract team, partner route through Phase 1, own licensing begins Phase 2</w:t>
            </w:r>
          </w:p>
        </w:tc>
        <w:tc>
          <w:tcPr>
            <w:tcW w:type="dxa" w:w="2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~$1,700,000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Senior in-house US team, enterprise compliance vendor, broader state licensing in Phase 2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~$2,527,000+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14. Assumptions, Notes &amp;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figures are 2026 planning-level market ranges, not vendor quotes — request formal quotes before finalizing a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Team costs assume a blended in-house/contractor model; an all-offshore or all-senior-US-in-house team will shift toward the low or high end respectively.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licensed-partner (BaaS) route is the recommended path for Phase 1 to avoid $250K+ upfront licensing spend before product-market fit is proven.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Treasury and gas-float figures are capital requirements, not expenses — they sit on the balance sheet, not the P&amp;L, though they still need to be funded.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Bridge/DEX aggregator and treasury/OTC costs are typically volume-based (fees or spread), so they scale with transaction volume rather than being fixed subscriptions.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Numbers exclude office overhead, founder salaries, insurance, and fundraising/banking fees, which vary too widely by company structure to estimate generically.</w:t>
      </w:r>
    </w:p>
    <w:p>
      <w:pPr>
        <w:pStyle w:val="Heading1"/>
        <w:spacing w:after="160" w:before="360"/>
      </w:pPr>
      <w:r>
        <w:rPr>
          <w:b/>
          <w:bCs/>
          <w:color w:val="1A1A2E"/>
          <w:sz w:val="30"/>
          <w:szCs w:val="30"/>
        </w:rPr>
        <w:t xml:space="preserve">15. Appendix — Vendor &amp; Tool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RPC/Node infrastructure: Alchemy, Infura, QuickNode.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Bridge/DEX aggregation: LI.FI, Socket, Across, Squid, 1inch.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Account abstraction / paymaster: Biconomy, Pimlico, ZeroDev.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Custody / MPC: Fireblocks, Copper.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Sanctions/KYC screening: Chainalysis, TRM Labs, Elliptic, or lighter API-first alternatives for early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Smart contract audit firms: selection should be scoped once contracts are near-final; obtain at least two competing quotes.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Money transmitter licensing / BaaS partners: evaluate at least one licensed-partner option before committing to self-filed state licensing.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Multi-Chain Crypto Payment Gateway — PCD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2026-08-08T11:04:32.543Z</dcterms:created>
  <dcterms:modified xsi:type="dcterms:W3CDTF">2026-08-08T11:04:32.543Z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