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A1A2E"/>
          <w:sz w:val="44"/>
          <w:szCs w:val="44"/>
        </w:rPr>
        <w:t xml:space="preserve">PRODUCT REQUIREMENTS DOCUMENT</w:t>
      </w:r>
    </w:p>
    <w:p>
      <w:pPr>
        <w:spacing w:after="600"/>
        <w:jc w:val="center"/>
      </w:pPr>
      <w:r>
        <w:rPr>
          <w:b/>
          <w:bCs/>
          <w:color w:val="B8860B"/>
          <w:sz w:val="32"/>
          <w:szCs w:val="32"/>
        </w:rPr>
        <w:t xml:space="preserve">Multi-Chain Crypto Payment Gateway</w:t>
      </w:r>
    </w:p>
    <w:p>
      <w:pPr>
        <w:spacing w:after="2000"/>
        <w:jc w:val="center"/>
      </w:pPr>
      <w:r>
        <w:rPr>
          <w:i/>
          <w:iCs/>
          <w:color w:val="666666"/>
          <w:sz w:val="22"/>
          <w:szCs w:val="22"/>
        </w:rPr>
        <w:t xml:space="preserve">Intelligent, multi-chain payment infrastructure — pay with any crypto, settle in any preferred asset.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shd w:fill="F2F2F2" w:val="clear"/>
            <w:tcMar>
              <w:top w:type="dxa" w:w="80"/>
              <w:left w:type="dxa" w:w="100"/>
              <w:bottom w:type="dxa" w:w="80"/>
              <w:right w:type="dxa" w:w="100"/>
            </w:tcMar>
            <w:vAlign w:val="center"/>
          </w:tcPr>
          <w:p>
            <w:r>
              <w:rPr>
                <w:b/>
                <w:bCs/>
                <w:color w:val="1A1A2E"/>
                <w:sz w:val="19"/>
                <w:szCs w:val="19"/>
              </w:rPr>
              <w:t xml:space="preserve">Document Version</w:t>
            </w:r>
          </w:p>
        </w:tc>
        <w:tc>
          <w:tcPr>
            <w:tcW w:type="dxa" w:w="4000"/>
            <w:tcMar>
              <w:top w:type="dxa" w:w="80"/>
              <w:left w:type="dxa" w:w="100"/>
              <w:bottom w:type="dxa" w:w="80"/>
              <w:right w:type="dxa" w:w="100"/>
            </w:tcMar>
            <w:vAlign w:val="center"/>
          </w:tcPr>
          <w:p>
            <w:r>
              <w:rPr>
                <w:b w:val="false"/>
                <w:bCs w:val="false"/>
                <w:color w:val="1A1A2E"/>
                <w:sz w:val="19"/>
                <w:szCs w:val="19"/>
              </w:rPr>
              <w:t xml:space="preserve">1.0 (Draft)</w:t>
            </w:r>
          </w:p>
        </w:tc>
      </w:tr>
      <w:tr>
        <w:tc>
          <w:tcPr>
            <w:tcW w:type="dxa" w:w="2000"/>
            <w:shd w:fill="F2F2F2" w:val="clear"/>
            <w:tcMar>
              <w:top w:type="dxa" w:w="80"/>
              <w:left w:type="dxa" w:w="100"/>
              <w:bottom w:type="dxa" w:w="80"/>
              <w:right w:type="dxa" w:w="100"/>
            </w:tcMar>
            <w:vAlign w:val="center"/>
          </w:tcPr>
          <w:p>
            <w:r>
              <w:rPr>
                <w:b/>
                <w:bCs/>
                <w:color w:val="1A1A2E"/>
                <w:sz w:val="19"/>
                <w:szCs w:val="19"/>
              </w:rPr>
              <w:t xml:space="preserve">Status</w:t>
            </w:r>
          </w:p>
        </w:tc>
        <w:tc>
          <w:tcPr>
            <w:tcW w:type="dxa" w:w="4000"/>
            <w:tcMar>
              <w:top w:type="dxa" w:w="80"/>
              <w:left w:type="dxa" w:w="100"/>
              <w:bottom w:type="dxa" w:w="80"/>
              <w:right w:type="dxa" w:w="100"/>
            </w:tcMar>
            <w:vAlign w:val="center"/>
          </w:tcPr>
          <w:p>
            <w:r>
              <w:rPr>
                <w:b w:val="false"/>
                <w:bCs w:val="false"/>
                <w:color w:val="1A1A2E"/>
                <w:sz w:val="19"/>
                <w:szCs w:val="19"/>
              </w:rPr>
              <w:t xml:space="preserve">Draft for client review</w:t>
            </w:r>
          </w:p>
        </w:tc>
      </w:tr>
      <w:tr>
        <w:tc>
          <w:tcPr>
            <w:tcW w:type="dxa" w:w="2000"/>
            <w:shd w:fill="F2F2F2" w:val="clear"/>
            <w:tcMar>
              <w:top w:type="dxa" w:w="80"/>
              <w:left w:type="dxa" w:w="100"/>
              <w:bottom w:type="dxa" w:w="80"/>
              <w:right w:type="dxa" w:w="100"/>
            </w:tcMar>
            <w:vAlign w:val="center"/>
          </w:tcPr>
          <w:p>
            <w:r>
              <w:rPr>
                <w:b/>
                <w:bCs/>
                <w:color w:val="1A1A2E"/>
                <w:sz w:val="19"/>
                <w:szCs w:val="19"/>
              </w:rPr>
              <w:t xml:space="preserve">Prepared For</w:t>
            </w:r>
          </w:p>
        </w:tc>
        <w:tc>
          <w:tcPr>
            <w:tcW w:type="dxa" w:w="4000"/>
            <w:tcMar>
              <w:top w:type="dxa" w:w="80"/>
              <w:left w:type="dxa" w:w="100"/>
              <w:bottom w:type="dxa" w:w="80"/>
              <w:right w:type="dxa" w:w="100"/>
            </w:tcMar>
            <w:vAlign w:val="center"/>
          </w:tcPr>
          <w:p>
            <w:r>
              <w:rPr>
                <w:b w:val="false"/>
                <w:bCs w:val="false"/>
                <w:color w:val="1A1A2E"/>
                <w:sz w:val="19"/>
                <w:szCs w:val="19"/>
              </w:rPr>
              <w:t xml:space="preserve">Client / Stakeholders</w:t>
            </w:r>
          </w:p>
        </w:tc>
      </w:tr>
      <w:tr>
        <w:tc>
          <w:tcPr>
            <w:tcW w:type="dxa" w:w="2000"/>
            <w:shd w:fill="F2F2F2" w:val="clear"/>
            <w:tcMar>
              <w:top w:type="dxa" w:w="80"/>
              <w:left w:type="dxa" w:w="100"/>
              <w:bottom w:type="dxa" w:w="80"/>
              <w:right w:type="dxa" w:w="100"/>
            </w:tcMar>
            <w:vAlign w:val="center"/>
          </w:tcPr>
          <w:p>
            <w:r>
              <w:rPr>
                <w:b/>
                <w:bCs/>
                <w:color w:val="1A1A2E"/>
                <w:sz w:val="19"/>
                <w:szCs w:val="19"/>
              </w:rPr>
              <w:t xml:space="preserve">Prepared By</w:t>
            </w:r>
          </w:p>
        </w:tc>
        <w:tc>
          <w:tcPr>
            <w:tcW w:type="dxa" w:w="4000"/>
            <w:tcMar>
              <w:top w:type="dxa" w:w="80"/>
              <w:left w:type="dxa" w:w="100"/>
              <w:bottom w:type="dxa" w:w="80"/>
              <w:right w:type="dxa" w:w="100"/>
            </w:tcMar>
            <w:vAlign w:val="center"/>
          </w:tcPr>
          <w:p>
            <w:r>
              <w:rPr>
                <w:b w:val="false"/>
                <w:bCs w:val="false"/>
                <w:color w:val="1A1A2E"/>
                <w:sz w:val="19"/>
                <w:szCs w:val="19"/>
              </w:rPr>
              <w:t xml:space="preserve">Product &amp; Engineering Team</w:t>
            </w:r>
          </w:p>
        </w:tc>
      </w:tr>
      <w:tr>
        <w:tc>
          <w:tcPr>
            <w:tcW w:type="dxa" w:w="2000"/>
            <w:shd w:fill="F2F2F2" w:val="clear"/>
            <w:tcMar>
              <w:top w:type="dxa" w:w="80"/>
              <w:left w:type="dxa" w:w="100"/>
              <w:bottom w:type="dxa" w:w="80"/>
              <w:right w:type="dxa" w:w="100"/>
            </w:tcMar>
            <w:vAlign w:val="center"/>
          </w:tcPr>
          <w:p>
            <w:r>
              <w:rPr>
                <w:b/>
                <w:bCs/>
                <w:color w:val="1A1A2E"/>
                <w:sz w:val="19"/>
                <w:szCs w:val="19"/>
              </w:rPr>
              <w:t xml:space="preserve">Date</w:t>
            </w:r>
          </w:p>
        </w:tc>
        <w:tc>
          <w:tcPr>
            <w:tcW w:type="dxa" w:w="4000"/>
            <w:tcMar>
              <w:top w:type="dxa" w:w="80"/>
              <w:left w:type="dxa" w:w="100"/>
              <w:bottom w:type="dxa" w:w="80"/>
              <w:right w:type="dxa" w:w="100"/>
            </w:tcMar>
            <w:vAlign w:val="center"/>
          </w:tcPr>
          <w:p>
            <w:r>
              <w:rPr>
                <w:b w:val="false"/>
                <w:bCs w:val="false"/>
                <w:color w:val="1A1A2E"/>
                <w:sz w:val="19"/>
                <w:szCs w:val="19"/>
              </w:rPr>
              <w:t xml:space="preserve">2026-08-07</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A1A2E"/>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A1A2E"/>
          <w:sz w:val="30"/>
          <w:szCs w:val="30"/>
        </w:rPr>
        <w:t xml:space="preserve">1. Executive Summary</w:t>
      </w:r>
    </w:p>
    <w:p>
      <w:pPr>
        <w:spacing w:after="160" w:line="276"/>
      </w:pPr>
      <w:r>
        <w:rPr>
          <w:sz w:val="21"/>
          <w:szCs w:val="21"/>
        </w:rPr>
        <w:t xml:space="preserve">This document defines the product requirements for a multi-chain crypto payment gateway that allows any customer to pay with any supported cryptocurrency, while every merchant receives their preferred asset on their preferred chain — with automatic routing, gas abstraction, volatility protection, risk screening, reconciliation, and recovery built in.</w:t>
      </w:r>
    </w:p>
    <w:p>
      <w:pPr>
        <w:spacing w:after="160" w:line="276"/>
      </w:pPr>
      <w:r>
        <w:rPr>
          <w:sz w:val="21"/>
          <w:szCs w:val="21"/>
        </w:rPr>
        <w:t xml:space="preserve">It is written for both technical and business stakeholders: Sections 2–4 explain what problem is being solved and why it matters; Sections 6–9 define exactly what the system must do, at both a business-capability level and a detailed functional level; Sections 10–14 cover how it fits together, how success is measured, and how it will be delivered.</w:t>
      </w:r>
    </w:p>
    <w:p>
      <w:pPr>
        <w:pStyle w:val="Heading1"/>
        <w:spacing w:after="160" w:before="360"/>
      </w:pPr>
      <w:r>
        <w:rPr>
          <w:b/>
          <w:bCs/>
          <w:color w:val="1A1A2E"/>
          <w:sz w:val="30"/>
          <w:szCs w:val="30"/>
        </w:rPr>
        <w:t xml:space="preserve">2. Problem Statement &amp; Rationale — What and Why</w:t>
      </w:r>
    </w:p>
    <w:p>
      <w:pPr>
        <w:pStyle w:val="Heading2"/>
        <w:spacing w:after="120" w:before="260"/>
      </w:pPr>
      <w:r>
        <w:rPr>
          <w:b/>
          <w:bCs/>
          <w:color w:val="1A1A2E"/>
          <w:sz w:val="24"/>
          <w:szCs w:val="24"/>
        </w:rPr>
        <w:t xml:space="preserve">2.1 The Market Problem</w:t>
      </w:r>
    </w:p>
    <w:p>
      <w:pPr>
        <w:spacing w:after="160" w:line="276"/>
      </w:pPr>
      <w:r>
        <w:rPr>
          <w:sz w:val="21"/>
          <w:szCs w:val="21"/>
        </w:rPr>
        <w:t xml:space="preserve">Crypto adoption for real-world payments is held back not by a lack of crypto holders, but by friction on both sides of every transaction:</w:t>
      </w:r>
    </w:p>
    <w:p>
      <w:pPr>
        <w:pStyle w:val="ListParagraph"/>
        <w:numPr>
          <w:ilvl w:val="0"/>
          <w:numId w:val="2"/>
        </w:numPr>
        <w:spacing w:after="80"/>
      </w:pPr>
      <w:r>
        <w:rPr>
          <w:sz w:val="21"/>
          <w:szCs w:val="21"/>
        </w:rPr>
        <w:t xml:space="preserve">Customers hold assets scattered across multiple chains and rarely hold the exact asset, on the exact chain, that a given merchant accepts.</w:t>
      </w:r>
    </w:p>
    <w:p>
      <w:pPr>
        <w:pStyle w:val="ListParagraph"/>
        <w:numPr>
          <w:ilvl w:val="0"/>
          <w:numId w:val="2"/>
        </w:numPr>
        <w:spacing w:after="80"/>
      </w:pPr>
      <w:r>
        <w:rPr>
          <w:sz w:val="21"/>
          <w:szCs w:val="21"/>
        </w:rPr>
        <w:t xml:space="preserve">Merchants do not want to manage multiple wallets, hold volatile assets, or reconcile transactions across chains by hand.</w:t>
      </w:r>
    </w:p>
    <w:p>
      <w:pPr>
        <w:pStyle w:val="ListParagraph"/>
        <w:numPr>
          <w:ilvl w:val="0"/>
          <w:numId w:val="2"/>
        </w:numPr>
        <w:spacing w:after="80"/>
      </w:pPr>
      <w:r>
        <w:rPr>
          <w:sz w:val="21"/>
          <w:szCs w:val="21"/>
        </w:rPr>
        <w:t xml:space="preserve">Existing gateways solve narrow slices of this (single-chain acceptance, basic conversion-at-receipt) but leave the hardest problems — gas friction, misdirected payments, volatility timing risk, and reconciliation — largely unsolved or manual.</w:t>
      </w:r>
    </w:p>
    <w:p>
      <w:pPr>
        <w:pStyle w:val="Heading2"/>
        <w:spacing w:after="120" w:before="260"/>
      </w:pPr>
      <w:r>
        <w:rPr>
          <w:b/>
          <w:bCs/>
          <w:color w:val="1A1A2E"/>
          <w:sz w:val="24"/>
          <w:szCs w:val="24"/>
        </w:rPr>
        <w:t xml:space="preserve">2.2 Pain Points This Product Removes</w:t>
      </w:r>
    </w:p>
    <w:p>
      <w:pPr>
        <w:spacing w:after="160" w:line="276"/>
      </w:pPr>
      <w:r>
        <w:rPr>
          <w:b/>
          <w:bCs/>
          <w:sz w:val="21"/>
          <w:szCs w:val="21"/>
        </w:rPr>
        <w:t xml:space="preserve">Customer-side:</w:t>
      </w:r>
    </w:p>
    <w:p>
      <w:pPr>
        <w:pStyle w:val="ListParagraph"/>
        <w:numPr>
          <w:ilvl w:val="0"/>
          <w:numId w:val="2"/>
        </w:numPr>
        <w:spacing w:after="80"/>
      </w:pPr>
      <w:r>
        <w:rPr>
          <w:sz w:val="21"/>
          <w:szCs w:val="21"/>
        </w:rPr>
        <w:t xml:space="preserve">Cannot pay because they lack the merchant's accepted asset/chain.</w:t>
      </w:r>
    </w:p>
    <w:p>
      <w:pPr>
        <w:pStyle w:val="ListParagraph"/>
        <w:numPr>
          <w:ilvl w:val="0"/>
          <w:numId w:val="2"/>
        </w:numPr>
        <w:spacing w:after="80"/>
      </w:pPr>
      <w:r>
        <w:rPr>
          <w:sz w:val="21"/>
          <w:szCs w:val="21"/>
        </w:rPr>
        <w:t xml:space="preserve">Cannot pay because they lack native gas token on the chain they want to use.</w:t>
      </w:r>
    </w:p>
    <w:p>
      <w:pPr>
        <w:pStyle w:val="ListParagraph"/>
        <w:numPr>
          <w:ilvl w:val="0"/>
          <w:numId w:val="2"/>
        </w:numPr>
        <w:spacing w:after="80"/>
      </w:pPr>
      <w:r>
        <w:rPr>
          <w:sz w:val="21"/>
          <w:szCs w:val="21"/>
        </w:rPr>
        <w:t xml:space="preserve">Funds are lost or stuck when sent to the wrong chain, with no recovery path.</w:t>
      </w:r>
    </w:p>
    <w:p>
      <w:pPr>
        <w:spacing w:after="160" w:line="276"/>
      </w:pPr>
      <w:r>
        <w:rPr>
          <w:b/>
          <w:bCs/>
          <w:sz w:val="21"/>
          <w:szCs w:val="21"/>
        </w:rPr>
        <w:t xml:space="preserve">Merchant-side:</w:t>
      </w:r>
    </w:p>
    <w:p>
      <w:pPr>
        <w:pStyle w:val="ListParagraph"/>
        <w:numPr>
          <w:ilvl w:val="0"/>
          <w:numId w:val="2"/>
        </w:numPr>
        <w:spacing w:after="80"/>
      </w:pPr>
      <w:r>
        <w:rPr>
          <w:sz w:val="21"/>
          <w:szCs w:val="21"/>
        </w:rPr>
        <w:t xml:space="preserve">Exposure to price volatility between the moment a customer pays and the moment the transaction confirms.</w:t>
      </w:r>
    </w:p>
    <w:p>
      <w:pPr>
        <w:pStyle w:val="ListParagraph"/>
        <w:numPr>
          <w:ilvl w:val="0"/>
          <w:numId w:val="2"/>
        </w:numPr>
        <w:spacing w:after="80"/>
      </w:pPr>
      <w:r>
        <w:rPr>
          <w:sz w:val="21"/>
          <w:szCs w:val="21"/>
        </w:rPr>
        <w:t xml:space="preserve">No visibility into which specific on-chain event maps to which invoice — reconciliation is manual.</w:t>
      </w:r>
    </w:p>
    <w:p>
      <w:pPr>
        <w:pStyle w:val="ListParagraph"/>
        <w:numPr>
          <w:ilvl w:val="0"/>
          <w:numId w:val="2"/>
        </w:numPr>
        <w:spacing w:after="80"/>
      </w:pPr>
      <w:r>
        <w:rPr>
          <w:sz w:val="21"/>
          <w:szCs w:val="21"/>
        </w:rPr>
        <w:t xml:space="preserve">No protection against receiving funds from sanctioned or high-risk wallets.</w:t>
      </w:r>
    </w:p>
    <w:p>
      <w:pPr>
        <w:pStyle w:val="ListParagraph"/>
        <w:numPr>
          <w:ilvl w:val="0"/>
          <w:numId w:val="2"/>
        </w:numPr>
        <w:spacing w:after="80"/>
      </w:pPr>
      <w:r>
        <w:rPr>
          <w:sz w:val="21"/>
          <w:szCs w:val="21"/>
        </w:rPr>
        <w:t xml:space="preserve">Underpayment or overpayment due to fee estimation or price movement results in failed orders or manual refund work.</w:t>
      </w:r>
    </w:p>
    <w:p>
      <w:pPr>
        <w:pStyle w:val="Heading2"/>
        <w:spacing w:after="120" w:before="260"/>
      </w:pPr>
      <w:r>
        <w:rPr>
          <w:b/>
          <w:bCs/>
          <w:color w:val="1A1A2E"/>
          <w:sz w:val="24"/>
          <w:szCs w:val="24"/>
        </w:rPr>
        <w:t xml:space="preserve">2.3 Why Now</w:t>
      </w:r>
    </w:p>
    <w:p>
      <w:pPr>
        <w:spacing w:after="160" w:line="276"/>
      </w:pPr>
      <w:r>
        <w:rPr>
          <w:sz w:val="21"/>
          <w:szCs w:val="21"/>
        </w:rPr>
        <w:t xml:space="preserve">Account abstraction (ERC-4337) has matured enough to make true gas abstraction practical rather than experimental. Bridge and DEX aggregation infrastructure (LI.FI, Socket, Across, Squid, 1inch) now provides reliable, auditable routing that this product can build on top of instead of re-implementing. Stablecoin payment volume, particularly USDT on Tron and USDC on EVM chains, has reached a scale where merchants are actively asking for crypto acceptance — but existing tooling stops at “accept one asset on one chain,” not at “remove the friction entirely.” This product closes that specific gap.</w:t>
      </w:r>
    </w:p>
    <w:p>
      <w:pPr>
        <w:pStyle w:val="Heading1"/>
        <w:spacing w:after="160" w:before="360"/>
      </w:pPr>
      <w:r>
        <w:rPr>
          <w:b/>
          <w:bCs/>
          <w:color w:val="1A1A2E"/>
          <w:sz w:val="30"/>
          <w:szCs w:val="30"/>
        </w:rPr>
        <w:t xml:space="preserve">3. Product Vision &amp; Objectives</w:t>
      </w:r>
    </w:p>
    <w:p>
      <w:pPr>
        <w:pStyle w:val="Heading2"/>
        <w:spacing w:after="120" w:before="260"/>
      </w:pPr>
      <w:r>
        <w:rPr>
          <w:b/>
          <w:bCs/>
          <w:color w:val="1A1A2E"/>
          <w:sz w:val="24"/>
          <w:szCs w:val="24"/>
        </w:rPr>
        <w:t xml:space="preserve">3.1 Vision Statement</w:t>
      </w:r>
    </w:p>
    <w:p>
      <w:pPr>
        <w:spacing w:after="160" w:line="276"/>
      </w:pPr>
      <w:r>
        <w:rPr>
          <w:sz w:val="21"/>
          <w:szCs w:val="21"/>
        </w:rPr>
        <w:t xml:space="preserve">Make paying with crypto as frictionless as tapping a card — for the customer — and make accepting crypto as simple and risk-free as accepting a card payment — for the merchant, regardless of which chain or asset either side prefers.</w:t>
      </w:r>
    </w:p>
    <w:p>
      <w:pPr>
        <w:pStyle w:val="Heading2"/>
        <w:spacing w:after="120" w:before="260"/>
      </w:pPr>
      <w:r>
        <w:rPr>
          <w:b/>
          <w:bCs/>
          <w:color w:val="1A1A2E"/>
          <w:sz w:val="24"/>
          <w:szCs w:val="24"/>
        </w:rPr>
        <w:t xml:space="preserve">3.2 Objectives</w:t>
      </w:r>
    </w:p>
    <w:p>
      <w:pPr>
        <w:pStyle w:val="ListParagraph"/>
        <w:numPr>
          <w:ilvl w:val="0"/>
          <w:numId w:val="2"/>
        </w:numPr>
        <w:spacing w:after="80"/>
      </w:pPr>
      <w:r>
        <w:rPr>
          <w:sz w:val="21"/>
          <w:szCs w:val="21"/>
        </w:rPr>
        <w:t xml:space="preserve">Remove the need for customers to hold a specific asset/chain/gas token to complete a payment.</w:t>
      </w:r>
    </w:p>
    <w:p>
      <w:pPr>
        <w:pStyle w:val="ListParagraph"/>
        <w:numPr>
          <w:ilvl w:val="0"/>
          <w:numId w:val="2"/>
        </w:numPr>
        <w:spacing w:after="80"/>
      </w:pPr>
      <w:r>
        <w:rPr>
          <w:sz w:val="21"/>
          <w:szCs w:val="21"/>
        </w:rPr>
        <w:t xml:space="preserve">Guarantee merchants receive an exact, pre-agreed settlement amount, insulated from on-chain price movement.</w:t>
      </w:r>
    </w:p>
    <w:p>
      <w:pPr>
        <w:pStyle w:val="ListParagraph"/>
        <w:numPr>
          <w:ilvl w:val="0"/>
          <w:numId w:val="2"/>
        </w:numPr>
        <w:spacing w:after="80"/>
      </w:pPr>
      <w:r>
        <w:rPr>
          <w:sz w:val="21"/>
          <w:szCs w:val="21"/>
        </w:rPr>
        <w:t xml:space="preserve">Reduce manual support intervention for misdirected, underpaid, or overpaid transactions to near zero.</w:t>
      </w:r>
    </w:p>
    <w:p>
      <w:pPr>
        <w:pStyle w:val="ListParagraph"/>
        <w:numPr>
          <w:ilvl w:val="0"/>
          <w:numId w:val="2"/>
        </w:numPr>
        <w:spacing w:after="80"/>
      </w:pPr>
      <w:r>
        <w:rPr>
          <w:sz w:val="21"/>
          <w:szCs w:val="21"/>
        </w:rPr>
        <w:t xml:space="preserve">Provide merchants a reconciled, accounting-ready record of every transaction without manual matching.</w:t>
      </w:r>
    </w:p>
    <w:p>
      <w:pPr>
        <w:pStyle w:val="ListParagraph"/>
        <w:numPr>
          <w:ilvl w:val="0"/>
          <w:numId w:val="2"/>
        </w:numPr>
        <w:spacing w:after="80"/>
      </w:pPr>
      <w:r>
        <w:rPr>
          <w:sz w:val="21"/>
          <w:szCs w:val="21"/>
        </w:rPr>
        <w:t xml:space="preserve">Build a compliance foundation that supports licensing expansion into new jurisdictions without architectural rework.</w:t>
      </w:r>
    </w:p>
    <w:p>
      <w:pPr>
        <w:pStyle w:val="Heading1"/>
        <w:spacing w:after="160" w:before="360"/>
      </w:pPr>
      <w:r>
        <w:rPr>
          <w:b/>
          <w:bCs/>
          <w:color w:val="1A1A2E"/>
          <w:sz w:val="30"/>
          <w:szCs w:val="30"/>
        </w:rPr>
        <w:t xml:space="preserve">4. Target Users &amp; Personas</w:t>
      </w:r>
    </w:p>
    <w:p>
      <w:pPr>
        <w:pStyle w:val="Heading2"/>
        <w:spacing w:after="120" w:before="260"/>
      </w:pPr>
      <w:r>
        <w:rPr>
          <w:b/>
          <w:bCs/>
          <w:color w:val="1A1A2E"/>
          <w:sz w:val="24"/>
          <w:szCs w:val="24"/>
        </w:rPr>
        <w:t xml:space="preserve">4.1 Paying Customer</w:t>
      </w:r>
    </w:p>
    <w:p>
      <w:pPr>
        <w:spacing w:after="160" w:line="276"/>
      </w:pPr>
      <w:r>
        <w:rPr>
          <w:sz w:val="21"/>
          <w:szCs w:val="21"/>
        </w:rPr>
        <w:t xml:space="preserve">Holds crypto across one or more wallets/chains. Wants to complete a purchase without researching which chain/asset the merchant accepts, without needing gas tokens, and with confidence that a mistake (wrong chain, underpayment) is recoverable.</w:t>
      </w:r>
    </w:p>
    <w:p>
      <w:pPr>
        <w:pStyle w:val="Heading2"/>
        <w:spacing w:after="120" w:before="260"/>
      </w:pPr>
      <w:r>
        <w:rPr>
          <w:b/>
          <w:bCs/>
          <w:color w:val="1A1A2E"/>
          <w:sz w:val="24"/>
          <w:szCs w:val="24"/>
        </w:rPr>
        <w:t xml:space="preserve">4.2 Merchant / Business</w:t>
      </w:r>
    </w:p>
    <w:p>
      <w:pPr>
        <w:spacing w:after="160" w:line="276"/>
      </w:pPr>
      <w:r>
        <w:rPr>
          <w:sz w:val="21"/>
          <w:szCs w:val="21"/>
        </w:rPr>
        <w:t xml:space="preserve">Wants to accept crypto payments without taking on volatility risk, chain complexity, or manual reconciliation work. Needs a dashboard, an API/SDK, and accounting-system integration. Cares about settlement reliability and dispute/recovery handling as much as initial checkout conversion.</w:t>
      </w:r>
    </w:p>
    <w:p>
      <w:pPr>
        <w:pStyle w:val="Heading2"/>
        <w:spacing w:after="120" w:before="260"/>
      </w:pPr>
      <w:r>
        <w:rPr>
          <w:b/>
          <w:bCs/>
          <w:color w:val="1A1A2E"/>
          <w:sz w:val="24"/>
          <w:szCs w:val="24"/>
        </w:rPr>
        <w:t xml:space="preserve">4.3 Platform Operations / Compliance Team</w:t>
      </w:r>
    </w:p>
    <w:p>
      <w:pPr>
        <w:spacing w:after="160" w:line="276"/>
      </w:pPr>
      <w:r>
        <w:rPr>
          <w:sz w:val="21"/>
          <w:szCs w:val="21"/>
        </w:rPr>
        <w:t xml:space="preserve">Needs visibility into risk-flagged transactions, treasury buffer health, routing decision logs, and compliance screening results across all supported jurisdictions.</w:t>
      </w:r>
    </w:p>
    <w:p>
      <w:pPr>
        <w:pStyle w:val="Heading1"/>
        <w:spacing w:after="160" w:before="360"/>
      </w:pPr>
      <w:r>
        <w:rPr>
          <w:b/>
          <w:bCs/>
          <w:color w:val="1A1A2E"/>
          <w:sz w:val="30"/>
          <w:szCs w:val="30"/>
        </w:rPr>
        <w:t xml:space="preserve">5. Scope</w:t>
      </w:r>
    </w:p>
    <w:p>
      <w:pPr>
        <w:pStyle w:val="Heading2"/>
        <w:spacing w:after="120" w:before="260"/>
      </w:pPr>
      <w:r>
        <w:rPr>
          <w:b/>
          <w:bCs/>
          <w:color w:val="1A1A2E"/>
          <w:sz w:val="24"/>
          <w:szCs w:val="24"/>
        </w:rPr>
        <w:t xml:space="preserve">5.1 In Scope — Version 1</w:t>
      </w:r>
    </w:p>
    <w:p>
      <w:pPr>
        <w:pStyle w:val="ListParagraph"/>
        <w:numPr>
          <w:ilvl w:val="0"/>
          <w:numId w:val="2"/>
        </w:numPr>
        <w:spacing w:after="80"/>
      </w:pPr>
      <w:r>
        <w:rPr>
          <w:sz w:val="21"/>
          <w:szCs w:val="21"/>
        </w:rPr>
        <w:t xml:space="preserve">Multi-chain, multi-asset checkout across an initial set of high-liquidity EVM chains plus Tron and Solana.</w:t>
      </w:r>
    </w:p>
    <w:p>
      <w:pPr>
        <w:pStyle w:val="ListParagraph"/>
        <w:numPr>
          <w:ilvl w:val="0"/>
          <w:numId w:val="2"/>
        </w:numPr>
        <w:spacing w:after="80"/>
      </w:pPr>
      <w:r>
        <w:rPr>
          <w:sz w:val="21"/>
          <w:szCs w:val="21"/>
        </w:rPr>
        <w:t xml:space="preserve">Automatic cross-chain routing via third-party bridge/DEX aggregators.</w:t>
      </w:r>
    </w:p>
    <w:p>
      <w:pPr>
        <w:pStyle w:val="ListParagraph"/>
        <w:numPr>
          <w:ilvl w:val="0"/>
          <w:numId w:val="2"/>
        </w:numPr>
        <w:spacing w:after="80"/>
      </w:pPr>
      <w:r>
        <w:rPr>
          <w:sz w:val="21"/>
          <w:szCs w:val="21"/>
        </w:rPr>
        <w:t xml:space="preserve">Gas abstraction via ERC-4337 paymasters (EVM) and relayer fallback (non-EVM).</w:t>
      </w:r>
    </w:p>
    <w:p>
      <w:pPr>
        <w:pStyle w:val="ListParagraph"/>
        <w:numPr>
          <w:ilvl w:val="0"/>
          <w:numId w:val="2"/>
        </w:numPr>
        <w:spacing w:after="80"/>
      </w:pPr>
      <w:r>
        <w:rPr>
          <w:sz w:val="21"/>
          <w:szCs w:val="21"/>
        </w:rPr>
        <w:t xml:space="preserve">Rate lock and treasury-backed volatility protection for merchants.</w:t>
      </w:r>
    </w:p>
    <w:p>
      <w:pPr>
        <w:pStyle w:val="ListParagraph"/>
        <w:numPr>
          <w:ilvl w:val="0"/>
          <w:numId w:val="2"/>
        </w:numPr>
        <w:spacing w:after="80"/>
      </w:pPr>
      <w:r>
        <w:rPr>
          <w:sz w:val="21"/>
          <w:szCs w:val="21"/>
        </w:rPr>
        <w:t xml:space="preserve">Sanctions/risk screening on deposit and payout addresses.</w:t>
      </w:r>
    </w:p>
    <w:p>
      <w:pPr>
        <w:pStyle w:val="ListParagraph"/>
        <w:numPr>
          <w:ilvl w:val="0"/>
          <w:numId w:val="2"/>
        </w:numPr>
        <w:spacing w:after="80"/>
      </w:pPr>
      <w:r>
        <w:rPr>
          <w:sz w:val="21"/>
          <w:szCs w:val="21"/>
        </w:rPr>
        <w:t xml:space="preserve">Underpayment/overpayment recovery flows; reconciliation ledger and API/webhook feed.</w:t>
      </w:r>
    </w:p>
    <w:p>
      <w:pPr>
        <w:pStyle w:val="ListParagraph"/>
        <w:numPr>
          <w:ilvl w:val="0"/>
          <w:numId w:val="2"/>
        </w:numPr>
        <w:spacing w:after="80"/>
      </w:pPr>
      <w:r>
        <w:rPr>
          <w:sz w:val="21"/>
          <w:szCs w:val="21"/>
        </w:rPr>
        <w:t xml:space="preserve">Merchant dashboard, REST API, SDK, and hosted checkout widget.</w:t>
      </w:r>
    </w:p>
    <w:p>
      <w:pPr>
        <w:pStyle w:val="Heading2"/>
        <w:spacing w:after="120" w:before="260"/>
      </w:pPr>
      <w:r>
        <w:rPr>
          <w:b/>
          <w:bCs/>
          <w:color w:val="1A1A2E"/>
          <w:sz w:val="24"/>
          <w:szCs w:val="24"/>
        </w:rPr>
        <w:t xml:space="preserve">5.2 Out of Scope — Version 1</w:t>
      </w:r>
    </w:p>
    <w:p>
      <w:pPr>
        <w:pStyle w:val="ListParagraph"/>
        <w:numPr>
          <w:ilvl w:val="0"/>
          <w:numId w:val="2"/>
        </w:numPr>
        <w:spacing w:after="80"/>
      </w:pPr>
      <w:r>
        <w:rPr>
          <w:sz w:val="21"/>
          <w:szCs w:val="21"/>
        </w:rPr>
        <w:t xml:space="preserve">Fiat off-ramp settlement (planned for a later phase, pending licensing).</w:t>
      </w:r>
    </w:p>
    <w:p>
      <w:pPr>
        <w:pStyle w:val="ListParagraph"/>
        <w:numPr>
          <w:ilvl w:val="0"/>
          <w:numId w:val="2"/>
        </w:numPr>
        <w:spacing w:after="80"/>
      </w:pPr>
      <w:r>
        <w:rPr>
          <w:sz w:val="21"/>
          <w:szCs w:val="21"/>
        </w:rPr>
        <w:t xml:space="preserve">Full misdirected-transaction auto-detection across all chain pairs (initial release covers same-ecosystem detection; broader detection is phased in).</w:t>
      </w:r>
    </w:p>
    <w:p>
      <w:pPr>
        <w:pStyle w:val="ListParagraph"/>
        <w:numPr>
          <w:ilvl w:val="0"/>
          <w:numId w:val="2"/>
        </w:numPr>
        <w:spacing w:after="80"/>
      </w:pPr>
      <w:r>
        <w:rPr>
          <w:sz w:val="21"/>
          <w:szCs w:val="21"/>
        </w:rPr>
        <w:t xml:space="preserve">Travel Rule / VASP-to-VASP data exchange (required only once fiat off-ramp or certain jurisdictions are activated).</w:t>
      </w:r>
    </w:p>
    <w:p>
      <w:pPr>
        <w:pStyle w:val="ListParagraph"/>
        <w:numPr>
          <w:ilvl w:val="0"/>
          <w:numId w:val="2"/>
        </w:numPr>
        <w:spacing w:after="80"/>
      </w:pPr>
      <w:r>
        <w:rPr>
          <w:sz w:val="21"/>
          <w:szCs w:val="21"/>
        </w:rPr>
        <w:t xml:space="preserve">Native mobile SDKs (web SDK and API ship first).</w:t>
      </w:r>
    </w:p>
    <w:p>
      <w:pPr>
        <w:pStyle w:val="Heading1"/>
        <w:spacing w:after="160" w:before="360"/>
      </w:pPr>
      <w:r>
        <w:rPr>
          <w:b/>
          <w:bCs/>
          <w:color w:val="1A1A2E"/>
          <w:sz w:val="30"/>
          <w:szCs w:val="30"/>
        </w:rPr>
        <w:t xml:space="preserve">6. High-Level Requirements</w:t>
      </w:r>
    </w:p>
    <w:p>
      <w:pPr>
        <w:spacing w:after="160" w:line="276"/>
      </w:pPr>
      <w:r>
        <w:rPr>
          <w:sz w:val="21"/>
          <w:szCs w:val="21"/>
        </w:rPr>
        <w:t xml:space="preserve">These describe the product's core capabilities at a business level. Every low-level requirement in Section 7 maps back to one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560"/>
        <w:gridCol w:w="150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2400"/>
            <w:shd w:fill="1A1A2E" w:val="clear"/>
            <w:tcMar>
              <w:top w:type="dxa" w:w="80"/>
              <w:left w:type="dxa" w:w="100"/>
              <w:bottom w:type="dxa" w:w="80"/>
              <w:right w:type="dxa" w:w="100"/>
            </w:tcMar>
            <w:vAlign w:val="center"/>
          </w:tcPr>
          <w:p>
            <w:r>
              <w:rPr>
                <w:b/>
                <w:bCs/>
                <w:color w:val="FFFFFF"/>
                <w:sz w:val="19"/>
                <w:szCs w:val="19"/>
              </w:rPr>
              <w:t xml:space="preserve">Capability</w:t>
            </w:r>
          </w:p>
        </w:tc>
        <w:tc>
          <w:tcPr>
            <w:tcW w:type="dxa" w:w="4560"/>
            <w:shd w:fill="1A1A2E" w:val="clear"/>
            <w:tcMar>
              <w:top w:type="dxa" w:w="80"/>
              <w:left w:type="dxa" w:w="100"/>
              <w:bottom w:type="dxa" w:w="80"/>
              <w:right w:type="dxa" w:w="100"/>
            </w:tcMar>
            <w:vAlign w:val="center"/>
          </w:tcPr>
          <w:p>
            <w:r>
              <w:rPr>
                <w:b/>
                <w:bCs/>
                <w:color w:val="FFFFFF"/>
                <w:sz w:val="19"/>
                <w:szCs w:val="19"/>
              </w:rPr>
              <w:t xml:space="preserve">Description</w:t>
            </w:r>
          </w:p>
        </w:tc>
        <w:tc>
          <w:tcPr>
            <w:tcW w:type="dxa" w:w="1500"/>
            <w:shd w:fill="1A1A2E" w:val="clear"/>
            <w:tcMar>
              <w:top w:type="dxa" w:w="80"/>
              <w:left w:type="dxa" w:w="100"/>
              <w:bottom w:type="dxa" w:w="80"/>
              <w:right w:type="dxa" w:w="100"/>
            </w:tcMar>
            <w:vAlign w:val="center"/>
          </w:tcPr>
          <w:p>
            <w:r>
              <w:rPr>
                <w:b/>
                <w:bCs/>
                <w:color w:val="FFFFFF"/>
                <w:sz w:val="19"/>
                <w:szCs w:val="19"/>
              </w:rPr>
              <w:t xml:space="preserve">Priority</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HLR-1</w:t>
            </w:r>
          </w:p>
        </w:tc>
        <w:tc>
          <w:tcPr>
            <w:tcW w:type="dxa" w:w="2400"/>
            <w:shd w:fill="FFFFFF" w:val="clear"/>
            <w:tcMar>
              <w:top w:type="dxa" w:w="80"/>
              <w:left w:type="dxa" w:w="100"/>
              <w:bottom w:type="dxa" w:w="80"/>
              <w:right w:type="dxa" w:w="100"/>
            </w:tcMar>
            <w:vAlign w:val="center"/>
          </w:tcPr>
          <w:p>
            <w:r>
              <w:rPr>
                <w:b w:val="false"/>
                <w:bCs w:val="false"/>
                <w:color w:val="1A1A2E"/>
                <w:sz w:val="19"/>
                <w:szCs w:val="19"/>
              </w:rPr>
              <w:t xml:space="preserve">Multi-Asset Checkout</w:t>
            </w:r>
          </w:p>
        </w:tc>
        <w:tc>
          <w:tcPr>
            <w:tcW w:type="dxa" w:w="4560"/>
            <w:shd w:fill="FFFFFF" w:val="clear"/>
            <w:tcMar>
              <w:top w:type="dxa" w:w="80"/>
              <w:left w:type="dxa" w:w="100"/>
              <w:bottom w:type="dxa" w:w="80"/>
              <w:right w:type="dxa" w:w="100"/>
            </w:tcMar>
            <w:vAlign w:val="center"/>
          </w:tcPr>
          <w:p>
            <w:r>
              <w:rPr>
                <w:b w:val="false"/>
                <w:bCs w:val="false"/>
                <w:color w:val="1A1A2E"/>
                <w:sz w:val="19"/>
                <w:szCs w:val="19"/>
              </w:rPr>
              <w:t xml:space="preserve">Customer can pay with any supported crypto asset on any supported chain.</w:t>
            </w:r>
          </w:p>
        </w:tc>
        <w:tc>
          <w:tcPr>
            <w:tcW w:type="dxa" w:w="1500"/>
            <w:shd w:fill="FFFFFF"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HLR-2</w:t>
            </w:r>
          </w:p>
        </w:tc>
        <w:tc>
          <w:tcPr>
            <w:tcW w:type="dxa" w:w="2400"/>
            <w:shd w:fill="F2F2F2" w:val="clear"/>
            <w:tcMar>
              <w:top w:type="dxa" w:w="80"/>
              <w:left w:type="dxa" w:w="100"/>
              <w:bottom w:type="dxa" w:w="80"/>
              <w:right w:type="dxa" w:w="100"/>
            </w:tcMar>
            <w:vAlign w:val="center"/>
          </w:tcPr>
          <w:p>
            <w:r>
              <w:rPr>
                <w:b w:val="false"/>
                <w:bCs w:val="false"/>
                <w:color w:val="1A1A2E"/>
                <w:sz w:val="19"/>
                <w:szCs w:val="19"/>
              </w:rPr>
              <w:t xml:space="preserve">Merchant Preferred Settlement</w:t>
            </w:r>
          </w:p>
        </w:tc>
        <w:tc>
          <w:tcPr>
            <w:tcW w:type="dxa" w:w="4560"/>
            <w:shd w:fill="F2F2F2" w:val="clear"/>
            <w:tcMar>
              <w:top w:type="dxa" w:w="80"/>
              <w:left w:type="dxa" w:w="100"/>
              <w:bottom w:type="dxa" w:w="80"/>
              <w:right w:type="dxa" w:w="100"/>
            </w:tcMar>
            <w:vAlign w:val="center"/>
          </w:tcPr>
          <w:p>
            <w:r>
              <w:rPr>
                <w:b w:val="false"/>
                <w:bCs w:val="false"/>
                <w:color w:val="1A1A2E"/>
                <w:sz w:val="19"/>
                <w:szCs w:val="19"/>
              </w:rPr>
              <w:t xml:space="preserve">Merchant always receives payment in the single asset/chain they configured, regardless of what the customer paid with.</w:t>
            </w:r>
          </w:p>
        </w:tc>
        <w:tc>
          <w:tcPr>
            <w:tcW w:type="dxa" w:w="1500"/>
            <w:shd w:fill="F2F2F2"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HLR-3</w:t>
            </w:r>
          </w:p>
        </w:tc>
        <w:tc>
          <w:tcPr>
            <w:tcW w:type="dxa" w:w="2400"/>
            <w:shd w:fill="FFFFFF" w:val="clear"/>
            <w:tcMar>
              <w:top w:type="dxa" w:w="80"/>
              <w:left w:type="dxa" w:w="100"/>
              <w:bottom w:type="dxa" w:w="80"/>
              <w:right w:type="dxa" w:w="100"/>
            </w:tcMar>
            <w:vAlign w:val="center"/>
          </w:tcPr>
          <w:p>
            <w:r>
              <w:rPr>
                <w:b w:val="false"/>
                <w:bCs w:val="false"/>
                <w:color w:val="1A1A2E"/>
                <w:sz w:val="19"/>
                <w:szCs w:val="19"/>
              </w:rPr>
              <w:t xml:space="preserve">Automatic Cross-Chain Routing</w:t>
            </w:r>
          </w:p>
        </w:tc>
        <w:tc>
          <w:tcPr>
            <w:tcW w:type="dxa" w:w="4560"/>
            <w:shd w:fill="FFFFFF" w:val="clear"/>
            <w:tcMar>
              <w:top w:type="dxa" w:w="80"/>
              <w:left w:type="dxa" w:w="100"/>
              <w:bottom w:type="dxa" w:w="80"/>
              <w:right w:type="dxa" w:w="100"/>
            </w:tcMar>
            <w:vAlign w:val="center"/>
          </w:tcPr>
          <w:p>
            <w:r>
              <w:rPr>
                <w:b w:val="false"/>
                <w:bCs w:val="false"/>
                <w:color w:val="1A1A2E"/>
                <w:sz w:val="19"/>
                <w:szCs w:val="19"/>
              </w:rPr>
              <w:t xml:space="preserve">System automatically selects the optimal bridge/DEX path between customer's asset and merchant's settlement asset.</w:t>
            </w:r>
          </w:p>
        </w:tc>
        <w:tc>
          <w:tcPr>
            <w:tcW w:type="dxa" w:w="1500"/>
            <w:shd w:fill="FFFFFF"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HLR-4</w:t>
            </w:r>
          </w:p>
        </w:tc>
        <w:tc>
          <w:tcPr>
            <w:tcW w:type="dxa" w:w="2400"/>
            <w:shd w:fill="F2F2F2" w:val="clear"/>
            <w:tcMar>
              <w:top w:type="dxa" w:w="80"/>
              <w:left w:type="dxa" w:w="100"/>
              <w:bottom w:type="dxa" w:w="80"/>
              <w:right w:type="dxa" w:w="100"/>
            </w:tcMar>
            <w:vAlign w:val="center"/>
          </w:tcPr>
          <w:p>
            <w:r>
              <w:rPr>
                <w:b w:val="false"/>
                <w:bCs w:val="false"/>
                <w:color w:val="1A1A2E"/>
                <w:sz w:val="19"/>
                <w:szCs w:val="19"/>
              </w:rPr>
              <w:t xml:space="preserve">Gas Abstraction</w:t>
            </w:r>
          </w:p>
        </w:tc>
        <w:tc>
          <w:tcPr>
            <w:tcW w:type="dxa" w:w="4560"/>
            <w:shd w:fill="F2F2F2" w:val="clear"/>
            <w:tcMar>
              <w:top w:type="dxa" w:w="80"/>
              <w:left w:type="dxa" w:w="100"/>
              <w:bottom w:type="dxa" w:w="80"/>
              <w:right w:type="dxa" w:w="100"/>
            </w:tcMar>
            <w:vAlign w:val="center"/>
          </w:tcPr>
          <w:p>
            <w:r>
              <w:rPr>
                <w:b w:val="false"/>
                <w:bCs w:val="false"/>
                <w:color w:val="1A1A2E"/>
                <w:sz w:val="19"/>
                <w:szCs w:val="19"/>
              </w:rPr>
              <w:t xml:space="preserve">Customer is never required to hold the native gas token of the chain they are paying from.</w:t>
            </w:r>
          </w:p>
        </w:tc>
        <w:tc>
          <w:tcPr>
            <w:tcW w:type="dxa" w:w="1500"/>
            <w:shd w:fill="F2F2F2"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HLR-5</w:t>
            </w:r>
          </w:p>
        </w:tc>
        <w:tc>
          <w:tcPr>
            <w:tcW w:type="dxa" w:w="2400"/>
            <w:shd w:fill="FFFFFF" w:val="clear"/>
            <w:tcMar>
              <w:top w:type="dxa" w:w="80"/>
              <w:left w:type="dxa" w:w="100"/>
              <w:bottom w:type="dxa" w:w="80"/>
              <w:right w:type="dxa" w:w="100"/>
            </w:tcMar>
            <w:vAlign w:val="center"/>
          </w:tcPr>
          <w:p>
            <w:r>
              <w:rPr>
                <w:b w:val="false"/>
                <w:bCs w:val="false"/>
                <w:color w:val="1A1A2E"/>
                <w:sz w:val="19"/>
                <w:szCs w:val="19"/>
              </w:rPr>
              <w:t xml:space="preserve">Rate Lock &amp; Volatility Protection</w:t>
            </w:r>
          </w:p>
        </w:tc>
        <w:tc>
          <w:tcPr>
            <w:tcW w:type="dxa" w:w="4560"/>
            <w:shd w:fill="FFFFFF" w:val="clear"/>
            <w:tcMar>
              <w:top w:type="dxa" w:w="80"/>
              <w:left w:type="dxa" w:w="100"/>
              <w:bottom w:type="dxa" w:w="80"/>
              <w:right w:type="dxa" w:w="100"/>
            </w:tcMar>
            <w:vAlign w:val="center"/>
          </w:tcPr>
          <w:p>
            <w:r>
              <w:rPr>
                <w:b w:val="false"/>
                <w:bCs w:val="false"/>
                <w:color w:val="1A1A2E"/>
                <w:sz w:val="19"/>
                <w:szCs w:val="19"/>
              </w:rPr>
              <w:t xml:space="preserve">Merchant's settlement amount is insulated from price movement between quote time and on-chain confirmation.</w:t>
            </w:r>
          </w:p>
        </w:tc>
        <w:tc>
          <w:tcPr>
            <w:tcW w:type="dxa" w:w="1500"/>
            <w:shd w:fill="FFFFFF"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HLR-6</w:t>
            </w:r>
          </w:p>
        </w:tc>
        <w:tc>
          <w:tcPr>
            <w:tcW w:type="dxa" w:w="2400"/>
            <w:shd w:fill="F2F2F2" w:val="clear"/>
            <w:tcMar>
              <w:top w:type="dxa" w:w="80"/>
              <w:left w:type="dxa" w:w="100"/>
              <w:bottom w:type="dxa" w:w="80"/>
              <w:right w:type="dxa" w:w="100"/>
            </w:tcMar>
            <w:vAlign w:val="center"/>
          </w:tcPr>
          <w:p>
            <w:r>
              <w:rPr>
                <w:b w:val="false"/>
                <w:bCs w:val="false"/>
                <w:color w:val="1A1A2E"/>
                <w:sz w:val="19"/>
                <w:szCs w:val="19"/>
              </w:rPr>
              <w:t xml:space="preserve">Fraud &amp; Risk Screening</w:t>
            </w:r>
          </w:p>
        </w:tc>
        <w:tc>
          <w:tcPr>
            <w:tcW w:type="dxa" w:w="4560"/>
            <w:shd w:fill="F2F2F2" w:val="clear"/>
            <w:tcMar>
              <w:top w:type="dxa" w:w="80"/>
              <w:left w:type="dxa" w:w="100"/>
              <w:bottom w:type="dxa" w:w="80"/>
              <w:right w:type="dxa" w:w="100"/>
            </w:tcMar>
            <w:vAlign w:val="center"/>
          </w:tcPr>
          <w:p>
            <w:r>
              <w:rPr>
                <w:b w:val="false"/>
                <w:bCs w:val="false"/>
                <w:color w:val="1A1A2E"/>
                <w:sz w:val="19"/>
                <w:szCs w:val="19"/>
              </w:rPr>
              <w:t xml:space="preserve">Sanctioned or high-risk wallet addresses are screened out before funds are routed to settlement.</w:t>
            </w:r>
          </w:p>
        </w:tc>
        <w:tc>
          <w:tcPr>
            <w:tcW w:type="dxa" w:w="1500"/>
            <w:shd w:fill="F2F2F2"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HLR-7</w:t>
            </w:r>
          </w:p>
        </w:tc>
        <w:tc>
          <w:tcPr>
            <w:tcW w:type="dxa" w:w="2400"/>
            <w:shd w:fill="FFFFFF" w:val="clear"/>
            <w:tcMar>
              <w:top w:type="dxa" w:w="80"/>
              <w:left w:type="dxa" w:w="100"/>
              <w:bottom w:type="dxa" w:w="80"/>
              <w:right w:type="dxa" w:w="100"/>
            </w:tcMar>
            <w:vAlign w:val="center"/>
          </w:tcPr>
          <w:p>
            <w:r>
              <w:rPr>
                <w:b w:val="false"/>
                <w:bCs w:val="false"/>
                <w:color w:val="1A1A2E"/>
                <w:sz w:val="19"/>
                <w:szCs w:val="19"/>
              </w:rPr>
              <w:t xml:space="preserve">Automated Recovery</w:t>
            </w:r>
          </w:p>
        </w:tc>
        <w:tc>
          <w:tcPr>
            <w:tcW w:type="dxa" w:w="4560"/>
            <w:shd w:fill="FFFFFF" w:val="clear"/>
            <w:tcMar>
              <w:top w:type="dxa" w:w="80"/>
              <w:left w:type="dxa" w:w="100"/>
              <w:bottom w:type="dxa" w:w="80"/>
              <w:right w:type="dxa" w:w="100"/>
            </w:tcMar>
            <w:vAlign w:val="center"/>
          </w:tcPr>
          <w:p>
            <w:r>
              <w:rPr>
                <w:b w:val="false"/>
                <w:bCs w:val="false"/>
                <w:color w:val="1A1A2E"/>
                <w:sz w:val="19"/>
                <w:szCs w:val="19"/>
              </w:rPr>
              <w:t xml:space="preserve">Misdirected, underpaid, overpaid, or stuck payments are resolved through automated self-service flows.</w:t>
            </w:r>
          </w:p>
        </w:tc>
        <w:tc>
          <w:tcPr>
            <w:tcW w:type="dxa" w:w="1500"/>
            <w:shd w:fill="FFFFFF" w:val="clear"/>
            <w:tcMar>
              <w:top w:type="dxa" w:w="80"/>
              <w:left w:type="dxa" w:w="100"/>
              <w:bottom w:type="dxa" w:w="80"/>
              <w:right w:type="dxa" w:w="100"/>
            </w:tcMar>
            <w:vAlign w:val="center"/>
          </w:tcPr>
          <w:p>
            <w:r>
              <w:rPr>
                <w:b w:val="false"/>
                <w:bCs w:val="false"/>
                <w:color w:val="1A1A2E"/>
                <w:sz w:val="19"/>
                <w:szCs w:val="19"/>
              </w:rPr>
              <w:t xml:space="preserve">P1</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HLR-8</w:t>
            </w:r>
          </w:p>
        </w:tc>
        <w:tc>
          <w:tcPr>
            <w:tcW w:type="dxa" w:w="2400"/>
            <w:shd w:fill="F2F2F2" w:val="clear"/>
            <w:tcMar>
              <w:top w:type="dxa" w:w="80"/>
              <w:left w:type="dxa" w:w="100"/>
              <w:bottom w:type="dxa" w:w="80"/>
              <w:right w:type="dxa" w:w="100"/>
            </w:tcMar>
            <w:vAlign w:val="center"/>
          </w:tcPr>
          <w:p>
            <w:r>
              <w:rPr>
                <w:b w:val="false"/>
                <w:bCs w:val="false"/>
                <w:color w:val="1A1A2E"/>
                <w:sz w:val="19"/>
                <w:szCs w:val="19"/>
              </w:rPr>
              <w:t xml:space="preserve">Reconciliation &amp; Accounting Integration</w:t>
            </w:r>
          </w:p>
        </w:tc>
        <w:tc>
          <w:tcPr>
            <w:tcW w:type="dxa" w:w="4560"/>
            <w:shd w:fill="F2F2F2" w:val="clear"/>
            <w:tcMar>
              <w:top w:type="dxa" w:w="80"/>
              <w:left w:type="dxa" w:w="100"/>
              <w:bottom w:type="dxa" w:w="80"/>
              <w:right w:type="dxa" w:w="100"/>
            </w:tcMar>
            <w:vAlign w:val="center"/>
          </w:tcPr>
          <w:p>
            <w:r>
              <w:rPr>
                <w:b w:val="false"/>
                <w:bCs w:val="false"/>
                <w:color w:val="1A1A2E"/>
                <w:sz w:val="19"/>
                <w:szCs w:val="19"/>
              </w:rPr>
              <w:t xml:space="preserve">Every transaction is automatically mapped to an invoice/order and exportable to accounting systems.</w:t>
            </w:r>
          </w:p>
        </w:tc>
        <w:tc>
          <w:tcPr>
            <w:tcW w:type="dxa" w:w="1500"/>
            <w:shd w:fill="F2F2F2"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HLR-9</w:t>
            </w:r>
          </w:p>
        </w:tc>
        <w:tc>
          <w:tcPr>
            <w:tcW w:type="dxa" w:w="2400"/>
            <w:shd w:fill="FFFFFF" w:val="clear"/>
            <w:tcMar>
              <w:top w:type="dxa" w:w="80"/>
              <w:left w:type="dxa" w:w="100"/>
              <w:bottom w:type="dxa" w:w="80"/>
              <w:right w:type="dxa" w:w="100"/>
            </w:tcMar>
            <w:vAlign w:val="center"/>
          </w:tcPr>
          <w:p>
            <w:r>
              <w:rPr>
                <w:b w:val="false"/>
                <w:bCs w:val="false"/>
                <w:color w:val="1A1A2E"/>
                <w:sz w:val="19"/>
                <w:szCs w:val="19"/>
              </w:rPr>
              <w:t xml:space="preserve">Merchant Dashboard &amp; Reporting</w:t>
            </w:r>
          </w:p>
        </w:tc>
        <w:tc>
          <w:tcPr>
            <w:tcW w:type="dxa" w:w="4560"/>
            <w:shd w:fill="FFFFFF" w:val="clear"/>
            <w:tcMar>
              <w:top w:type="dxa" w:w="80"/>
              <w:left w:type="dxa" w:w="100"/>
              <w:bottom w:type="dxa" w:w="80"/>
              <w:right w:type="dxa" w:w="100"/>
            </w:tcMar>
            <w:vAlign w:val="center"/>
          </w:tcPr>
          <w:p>
            <w:r>
              <w:rPr>
                <w:b w:val="false"/>
                <w:bCs w:val="false"/>
                <w:color w:val="1A1A2E"/>
                <w:sz w:val="19"/>
                <w:szCs w:val="19"/>
              </w:rPr>
              <w:t xml:space="preserve">Merchants can view live transaction status, balances, and settlement history in one place.</w:t>
            </w:r>
          </w:p>
        </w:tc>
        <w:tc>
          <w:tcPr>
            <w:tcW w:type="dxa" w:w="1500"/>
            <w:shd w:fill="FFFFFF"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HLR-10</w:t>
            </w:r>
          </w:p>
        </w:tc>
        <w:tc>
          <w:tcPr>
            <w:tcW w:type="dxa" w:w="2400"/>
            <w:shd w:fill="F2F2F2" w:val="clear"/>
            <w:tcMar>
              <w:top w:type="dxa" w:w="80"/>
              <w:left w:type="dxa" w:w="100"/>
              <w:bottom w:type="dxa" w:w="80"/>
              <w:right w:type="dxa" w:w="100"/>
            </w:tcMar>
            <w:vAlign w:val="center"/>
          </w:tcPr>
          <w:p>
            <w:r>
              <w:rPr>
                <w:b w:val="false"/>
                <w:bCs w:val="false"/>
                <w:color w:val="1A1A2E"/>
                <w:sz w:val="19"/>
                <w:szCs w:val="19"/>
              </w:rPr>
              <w:t xml:space="preserve">Developer API / SDK / Checkout Widget</w:t>
            </w:r>
          </w:p>
        </w:tc>
        <w:tc>
          <w:tcPr>
            <w:tcW w:type="dxa" w:w="4560"/>
            <w:shd w:fill="F2F2F2" w:val="clear"/>
            <w:tcMar>
              <w:top w:type="dxa" w:w="80"/>
              <w:left w:type="dxa" w:w="100"/>
              <w:bottom w:type="dxa" w:w="80"/>
              <w:right w:type="dxa" w:w="100"/>
            </w:tcMar>
            <w:vAlign w:val="center"/>
          </w:tcPr>
          <w:p>
            <w:r>
              <w:rPr>
                <w:b w:val="false"/>
                <w:bCs w:val="false"/>
                <w:color w:val="1A1A2E"/>
                <w:sz w:val="19"/>
                <w:szCs w:val="19"/>
              </w:rPr>
              <w:t xml:space="preserve">Merchants can integrate via REST API, client SDKs, or a hosted checkout widget.</w:t>
            </w:r>
          </w:p>
        </w:tc>
        <w:tc>
          <w:tcPr>
            <w:tcW w:type="dxa" w:w="1500"/>
            <w:shd w:fill="F2F2F2"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HLR-11</w:t>
            </w:r>
          </w:p>
        </w:tc>
        <w:tc>
          <w:tcPr>
            <w:tcW w:type="dxa" w:w="2400"/>
            <w:shd w:fill="FFFFFF" w:val="clear"/>
            <w:tcMar>
              <w:top w:type="dxa" w:w="80"/>
              <w:left w:type="dxa" w:w="100"/>
              <w:bottom w:type="dxa" w:w="80"/>
              <w:right w:type="dxa" w:w="100"/>
            </w:tcMar>
            <w:vAlign w:val="center"/>
          </w:tcPr>
          <w:p>
            <w:r>
              <w:rPr>
                <w:b w:val="false"/>
                <w:bCs w:val="false"/>
                <w:color w:val="1A1A2E"/>
                <w:sz w:val="19"/>
                <w:szCs w:val="19"/>
              </w:rPr>
              <w:t xml:space="preserve">Compliance &amp; Licensing Readiness</w:t>
            </w:r>
          </w:p>
        </w:tc>
        <w:tc>
          <w:tcPr>
            <w:tcW w:type="dxa" w:w="4560"/>
            <w:shd w:fill="FFFFFF" w:val="clear"/>
            <w:tcMar>
              <w:top w:type="dxa" w:w="80"/>
              <w:left w:type="dxa" w:w="100"/>
              <w:bottom w:type="dxa" w:w="80"/>
              <w:right w:type="dxa" w:w="100"/>
            </w:tcMar>
            <w:vAlign w:val="center"/>
          </w:tcPr>
          <w:p>
            <w:r>
              <w:rPr>
                <w:b w:val="false"/>
                <w:bCs w:val="false"/>
                <w:color w:val="1A1A2E"/>
                <w:sz w:val="19"/>
                <w:szCs w:val="19"/>
              </w:rPr>
              <w:t xml:space="preserve">KYC/AML, sanctions screening, and Travel Rule handling are pluggable per jurisdiction.</w:t>
            </w:r>
          </w:p>
        </w:tc>
        <w:tc>
          <w:tcPr>
            <w:tcW w:type="dxa" w:w="1500"/>
            <w:shd w:fill="FFFFFF" w:val="clear"/>
            <w:tcMar>
              <w:top w:type="dxa" w:w="80"/>
              <w:left w:type="dxa" w:w="100"/>
              <w:bottom w:type="dxa" w:w="80"/>
              <w:right w:type="dxa" w:w="100"/>
            </w:tcMar>
            <w:vAlign w:val="center"/>
          </w:tcPr>
          <w:p>
            <w:r>
              <w:rPr>
                <w:b w:val="false"/>
                <w:bCs w:val="false"/>
                <w:color w:val="1A1A2E"/>
                <w:sz w:val="19"/>
                <w:szCs w:val="19"/>
              </w:rPr>
              <w:t xml:space="preserve">P1</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HLR-12</w:t>
            </w:r>
          </w:p>
        </w:tc>
        <w:tc>
          <w:tcPr>
            <w:tcW w:type="dxa" w:w="2400"/>
            <w:shd w:fill="F2F2F2" w:val="clear"/>
            <w:tcMar>
              <w:top w:type="dxa" w:w="80"/>
              <w:left w:type="dxa" w:w="100"/>
              <w:bottom w:type="dxa" w:w="80"/>
              <w:right w:type="dxa" w:w="100"/>
            </w:tcMar>
            <w:vAlign w:val="center"/>
          </w:tcPr>
          <w:p>
            <w:r>
              <w:rPr>
                <w:b w:val="false"/>
                <w:bCs w:val="false"/>
                <w:color w:val="1A1A2E"/>
                <w:sz w:val="19"/>
                <w:szCs w:val="19"/>
              </w:rPr>
              <w:t xml:space="preserve">Multi-Chain Expansion Framework</w:t>
            </w:r>
          </w:p>
        </w:tc>
        <w:tc>
          <w:tcPr>
            <w:tcW w:type="dxa" w:w="4560"/>
            <w:shd w:fill="F2F2F2" w:val="clear"/>
            <w:tcMar>
              <w:top w:type="dxa" w:w="80"/>
              <w:left w:type="dxa" w:w="100"/>
              <w:bottom w:type="dxa" w:w="80"/>
              <w:right w:type="dxa" w:w="100"/>
            </w:tcMar>
            <w:vAlign w:val="center"/>
          </w:tcPr>
          <w:p>
            <w:r>
              <w:rPr>
                <w:b w:val="false"/>
                <w:bCs w:val="false"/>
                <w:color w:val="1A1A2E"/>
                <w:sz w:val="19"/>
                <w:szCs w:val="19"/>
              </w:rPr>
              <w:t xml:space="preserve">New chains and assets can be onboarded via configuration rather than a rebuild.</w:t>
            </w:r>
          </w:p>
        </w:tc>
        <w:tc>
          <w:tcPr>
            <w:tcW w:type="dxa" w:w="1500"/>
            <w:shd w:fill="F2F2F2" w:val="clear"/>
            <w:tcMar>
              <w:top w:type="dxa" w:w="80"/>
              <w:left w:type="dxa" w:w="100"/>
              <w:bottom w:type="dxa" w:w="80"/>
              <w:right w:type="dxa" w:w="100"/>
            </w:tcMar>
            <w:vAlign w:val="center"/>
          </w:tcPr>
          <w:p>
            <w:r>
              <w:rPr>
                <w:b w:val="false"/>
                <w:bCs w:val="false"/>
                <w:color w:val="1A1A2E"/>
                <w:sz w:val="19"/>
                <w:szCs w:val="19"/>
              </w:rPr>
              <w:t xml:space="preserve">P1</w:t>
            </w:r>
          </w:p>
        </w:tc>
      </w:tr>
    </w:tbl>
    <w:p>
      <w:pPr>
        <w:pStyle w:val="Heading1"/>
        <w:spacing w:after="160" w:before="360"/>
      </w:pPr>
      <w:r>
        <w:rPr>
          <w:b/>
          <w:bCs/>
          <w:color w:val="1A1A2E"/>
          <w:sz w:val="30"/>
          <w:szCs w:val="30"/>
        </w:rPr>
        <w:t xml:space="preserve">7. Low-Level Requirements</w:t>
      </w:r>
    </w:p>
    <w:p>
      <w:pPr>
        <w:spacing w:after="160" w:line="276"/>
      </w:pPr>
      <w:r>
        <w:rPr>
          <w:sz w:val="21"/>
          <w:szCs w:val="21"/>
        </w:rPr>
        <w:t xml:space="preserve">Detailed, testable functional requirements grouped by system component. Priority follows MoSCoW-style tiers: P0 (must-have for MVP), P1 (should-have, early post-MVP), P2 (future phase).</w:t>
      </w:r>
    </w:p>
    <w:p>
      <w:pPr>
        <w:pStyle w:val="Heading2"/>
        <w:spacing w:after="120" w:before="260"/>
      </w:pPr>
      <w:r>
        <w:rPr>
          <w:b/>
          <w:bCs/>
          <w:color w:val="1A1A2E"/>
          <w:sz w:val="24"/>
          <w:szCs w:val="24"/>
        </w:rPr>
        <w:t xml:space="preserve">7.1 Payment Intent Service</w:t>
      </w:r>
    </w:p>
    <w:p>
      <w:pPr>
        <w:spacing w:after="160" w:line="276"/>
      </w:pPr>
      <w:r>
        <w:rPr>
          <w:i/>
          <w:iCs/>
          <w:color w:val="666666"/>
          <w:sz w:val="21"/>
          <w:szCs w:val="21"/>
        </w:rPr>
        <w:t xml:space="preserve">The system of record for every payment attempt, from quote to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FR-1.1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Create a Payment Intent on checkout initiation, capturing merchant ID, order reference, and target amount/asset/chain.</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Intent object retrievable via API within 200ms of creation.</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FR-1.2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Enforce a defined state machine (Created → Quoted → Awaiting Payment → … → Settled) with logged transitions.</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Invalid state transitions are rejected and logged.</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FR-1.3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Emit a signed webhook to the merchant's endpoint on every state transition.</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Webhook delivered with retry/backoff; signature verifiable by merchant.</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FR-1.4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Expire unpaid intents automatically once the quote TTL elapses.</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Intent auto-transitions to Expired; a new quote is required to continue.</w:t>
            </w:r>
          </w:p>
        </w:tc>
      </w:tr>
    </w:tbl>
    <w:p>
      <w:pPr>
        <w:spacing w:after="200"/>
      </w:pPr>
    </w:p>
    <w:p>
      <w:pPr>
        <w:pStyle w:val="Heading2"/>
        <w:spacing w:after="120" w:before="260"/>
      </w:pPr>
      <w:r>
        <w:rPr>
          <w:b/>
          <w:bCs/>
          <w:color w:val="1A1A2E"/>
          <w:sz w:val="24"/>
          <w:szCs w:val="24"/>
        </w:rPr>
        <w:t xml:space="preserve">7.2 Routing Engine</w:t>
      </w:r>
    </w:p>
    <w:p>
      <w:pPr>
        <w:spacing w:after="160" w:line="276"/>
      </w:pPr>
      <w:r>
        <w:rPr>
          <w:i/>
          <w:iCs/>
          <w:color w:val="666666"/>
          <w:sz w:val="21"/>
          <w:szCs w:val="21"/>
        </w:rPr>
        <w:t xml:space="preserve">Selects the cheapest, fastest, and safest path from the customer's asset to the merchant's settlement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FR-2.1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Query multiple bridge/DEX aggregator APIs for candidate settlement paths per intent.</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At least two independent providers queried per quote.</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FR-2.2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Score and select a path using fee, confirmation time, and bridge security/TVL criteria.</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Selection rationale is captured in an auditable decision log.</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FR-2.3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Re-quote automatically if the customer pays from an unexpected chain or asset.</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New path computed and intent updated without manual intervention.</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FR-2.4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Retain routing decision logs for audit and dispute resolution.</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Logs retained per the applicable regulatory retention period.</w:t>
            </w:r>
          </w:p>
        </w:tc>
      </w:tr>
    </w:tbl>
    <w:p>
      <w:pPr>
        <w:spacing w:after="200"/>
      </w:pPr>
    </w:p>
    <w:p>
      <w:pPr>
        <w:pStyle w:val="Heading2"/>
        <w:spacing w:after="120" w:before="260"/>
      </w:pPr>
      <w:r>
        <w:rPr>
          <w:b/>
          <w:bCs/>
          <w:color w:val="1A1A2E"/>
          <w:sz w:val="24"/>
          <w:szCs w:val="24"/>
        </w:rPr>
        <w:t xml:space="preserve">7.3 Gas Abstraction Layer</w:t>
      </w:r>
    </w:p>
    <w:p>
      <w:pPr>
        <w:spacing w:after="160" w:line="276"/>
      </w:pPr>
      <w:r>
        <w:rPr>
          <w:i/>
          <w:iCs/>
          <w:color w:val="666666"/>
          <w:sz w:val="21"/>
          <w:szCs w:val="21"/>
        </w:rPr>
        <w:t xml:space="preserve">Removes the requirement that a customer hold native gas tokens to complete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FR-3.1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Sponsor gas via an ERC-4337 paymaster on supported EVM chains.</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Customer completes payment without holding native gas token.</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FR-3.2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Use a relayer / meta-transaction fallback on non-AA chains (e.g., Tron, Solana).</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Payment completes on non-EVM chains without native gas held by customer.</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FR-3.3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Itemize gas cost in the quote shown to the customer before payment.</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Quote UI displays gas cost as a separate, disclosed line item.</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FR-3.4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Reclaim fronted gas cost from received funds during settlement.</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Settlement ledger entry reflects gas cost deduction.</w:t>
            </w:r>
          </w:p>
        </w:tc>
      </w:tr>
    </w:tbl>
    <w:p>
      <w:pPr>
        <w:spacing w:after="200"/>
      </w:pPr>
    </w:p>
    <w:p>
      <w:pPr>
        <w:pStyle w:val="Heading2"/>
        <w:spacing w:after="120" w:before="260"/>
      </w:pPr>
      <w:r>
        <w:rPr>
          <w:b/>
          <w:bCs/>
          <w:color w:val="1A1A2E"/>
          <w:sz w:val="24"/>
          <w:szCs w:val="24"/>
        </w:rPr>
        <w:t xml:space="preserve">7.4 Rate Lock, Risk &amp; Treasury</w:t>
      </w:r>
    </w:p>
    <w:p>
      <w:pPr>
        <w:spacing w:after="160" w:line="276"/>
      </w:pPr>
      <w:r>
        <w:rPr>
          <w:i/>
          <w:iCs/>
          <w:color w:val="666666"/>
          <w:sz w:val="21"/>
          <w:szCs w:val="21"/>
        </w:rPr>
        <w:t xml:space="preserve">Removes volatility exposure for merchants and screens transactions for risk before funds move to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FR-4.1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Lock an exchange rate at quote time with a configurable TTL.</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Locked rate and expiry timestamp are visible to customer and merchant.</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FR-4.2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Maintain a treasury buffer or OTC/market-maker integration to absorb rate slippage.</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Merchant settlement is unaffected by market movement within the TTL window.</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FR-4.3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Guarantee merchant settlement amount matches the quoted rate regardless of on-chain rate movement within the TTL.</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Settlement amount audit-matches the original quote.</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FR-4.4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Screen source wallet addresses against sanctions/risk databases before settlement.</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Flagged addresses are blocked from automatic settlement.</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FR-4.5</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Hold transactions exceeding a configurable risk threshold for manual review.</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High-risk transactions route to a review queue, not auto-settlement.</w:t>
            </w:r>
          </w:p>
        </w:tc>
      </w:tr>
    </w:tbl>
    <w:p>
      <w:pPr>
        <w:spacing w:after="200"/>
      </w:pPr>
    </w:p>
    <w:p>
      <w:pPr>
        <w:pStyle w:val="Heading2"/>
        <w:spacing w:after="120" w:before="260"/>
      </w:pPr>
      <w:r>
        <w:rPr>
          <w:b/>
          <w:bCs/>
          <w:color w:val="1A1A2E"/>
          <w:sz w:val="24"/>
          <w:szCs w:val="24"/>
        </w:rPr>
        <w:t xml:space="preserve">7.5 Deposit Address / Smart Wallet Layer</w:t>
      </w:r>
    </w:p>
    <w:p>
      <w:pPr>
        <w:spacing w:after="160" w:line="276"/>
      </w:pPr>
      <w:r>
        <w:rPr>
          <w:i/>
          <w:iCs/>
          <w:color w:val="666666"/>
          <w:sz w:val="21"/>
          <w:szCs w:val="21"/>
        </w:rPr>
        <w:t xml:space="preserve">Reduces the risk of misdirected payments at the point of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FR-5.1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Generate a unique smart-contract wallet/address per payment intent.</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Each intent has a dedicated, non-reused deposit address.</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FR-5.2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Accept multiple asset/chain combinations at the same address where technically feasible (e.g., across EVM chains).</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A single address correctly receives assets from ≥ 2 EVM chains.</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FR-5.3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Reject or flag clearly unsupported assets at the point of receipt where feasible.</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Unsupported asset deposits are flagged for recovery automatically.</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FR-5.4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Undergo independent security audit of all deposit-address contracts before mainnet deployment.</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Signed-off audit report exists prior to production launch.</w:t>
            </w:r>
          </w:p>
        </w:tc>
      </w:tr>
    </w:tbl>
    <w:p>
      <w:pPr>
        <w:spacing w:after="200"/>
      </w:pPr>
    </w:p>
    <w:p>
      <w:pPr>
        <w:pStyle w:val="Heading2"/>
        <w:spacing w:after="120" w:before="260"/>
      </w:pPr>
      <w:r>
        <w:rPr>
          <w:b/>
          <w:bCs/>
          <w:color w:val="1A1A2E"/>
          <w:sz w:val="24"/>
          <w:szCs w:val="24"/>
        </w:rPr>
        <w:t xml:space="preserve">7.6 Chain Watchers / Indexers</w:t>
      </w:r>
    </w:p>
    <w:p>
      <w:pPr>
        <w:spacing w:after="160" w:line="276"/>
      </w:pPr>
      <w:r>
        <w:rPr>
          <w:i/>
          <w:iCs/>
          <w:color w:val="666666"/>
          <w:sz w:val="21"/>
          <w:szCs w:val="21"/>
        </w:rPr>
        <w:t xml:space="preserve">Detects and confirms on-chain activity per supported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FR-6.1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Detect incoming deposits within a defined latency window of broadcast, per chain.</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Detection latency meets the per-chain SLA defined in NFRs.</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FR-6.2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Apply chain-appropriate confirmation depth before marking a deposit Confirmed.</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Confirmation depth is configurable per chain and enforced consistently.</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FR-6.3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Handle chain reorganizations by reverting intent state and re-monitoring.</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A reorg below the confirmed deposit reverts intent state correctly.</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FR-6.4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Maintain redundant RPC/indexer providers per chain for failover.</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Single provider outage does not interrupt deposit detection.</w:t>
            </w:r>
          </w:p>
        </w:tc>
      </w:tr>
    </w:tbl>
    <w:p>
      <w:pPr>
        <w:spacing w:after="200"/>
      </w:pPr>
    </w:p>
    <w:p>
      <w:pPr>
        <w:pStyle w:val="Heading2"/>
        <w:spacing w:after="120" w:before="260"/>
      </w:pPr>
      <w:r>
        <w:rPr>
          <w:b/>
          <w:bCs/>
          <w:color w:val="1A1A2E"/>
          <w:sz w:val="24"/>
          <w:szCs w:val="24"/>
        </w:rPr>
        <w:t xml:space="preserve">7.7 Settlement Service</w:t>
      </w:r>
    </w:p>
    <w:p>
      <w:pPr>
        <w:spacing w:after="160" w:line="276"/>
      </w:pPr>
      <w:r>
        <w:rPr>
          <w:i/>
          <w:iCs/>
          <w:color w:val="666666"/>
          <w:sz w:val="21"/>
          <w:szCs w:val="21"/>
        </w:rPr>
        <w:t xml:space="preserve">Executes final payout to the merchant.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FR-7.1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Execute payout to the merchant's configured settlement asset/chain.</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Payout matches merchant configuration for every settled intent.</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FR-7.2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Settle at the rate-locked quote amount minus disclosed fees.</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Settlement amount reconciles exactly against the ledger entry.</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FR-7.3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Support fiat off-ramp payout where the platform is licensed to do so.</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P2</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Fiat payout available in jurisdictions with completed licensing.</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FR-7.4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Auto-retry failed settlements, escalating to manual ops after a defined attempt limit.</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Failed settlement triggers alert and retry per defined policy.</w:t>
            </w:r>
          </w:p>
        </w:tc>
      </w:tr>
    </w:tbl>
    <w:p>
      <w:pPr>
        <w:spacing w:after="200"/>
      </w:pPr>
    </w:p>
    <w:p>
      <w:pPr>
        <w:pStyle w:val="Heading2"/>
        <w:spacing w:after="120" w:before="260"/>
      </w:pPr>
      <w:r>
        <w:rPr>
          <w:b/>
          <w:bCs/>
          <w:color w:val="1A1A2E"/>
          <w:sz w:val="24"/>
          <w:szCs w:val="24"/>
        </w:rPr>
        <w:t xml:space="preserve">7.8 Recovery Service</w:t>
      </w:r>
    </w:p>
    <w:p>
      <w:pPr>
        <w:spacing w:after="160" w:line="276"/>
      </w:pPr>
      <w:r>
        <w:rPr>
          <w:i/>
          <w:iCs/>
          <w:color w:val="666666"/>
          <w:sz w:val="21"/>
          <w:szCs w:val="21"/>
        </w:rPr>
        <w:t xml:space="preserve">Resolves misdirected, underpaid, overpaid, and stuck payments without manual support tickets as the default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FR-8.1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Detect misdirected payments (wrong chain/asset) via cross-chain deposit scanning.</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Misdirected deposits are identified and linked to a recovery case automatically.</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FR-8.2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Verify ownership of misdirected funds via signed message before refund.</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Refund only executes after signature verification succeeds.</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FR-8.3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Generate a top-up link for underpaid intents at the original or a re-quoted rate.</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Customer can complete an underpaid intent via a single link.</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FR-8.4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Auto-refund or credit overpaid amounts.</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Overpayment is refunded or credited without manual intervention.</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FR-8.5</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Offer fee-bump/acceleration for stuck transactions where the chain supports it.</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Stuck transaction can be accelerated via the recovery flow.</w:t>
            </w:r>
          </w:p>
        </w:tc>
      </w:tr>
    </w:tbl>
    <w:p>
      <w:pPr>
        <w:spacing w:after="200"/>
      </w:pPr>
    </w:p>
    <w:p>
      <w:pPr>
        <w:pStyle w:val="Heading2"/>
        <w:spacing w:after="120" w:before="260"/>
      </w:pPr>
      <w:r>
        <w:rPr>
          <w:b/>
          <w:bCs/>
          <w:color w:val="1A1A2E"/>
          <w:sz w:val="24"/>
          <w:szCs w:val="24"/>
        </w:rPr>
        <w:t xml:space="preserve">7.9 Reconciliation &amp; Ledger Service</w:t>
      </w:r>
    </w:p>
    <w:p>
      <w:pPr>
        <w:spacing w:after="160" w:line="276"/>
      </w:pPr>
      <w:r>
        <w:rPr>
          <w:i/>
          <w:iCs/>
          <w:color w:val="666666"/>
          <w:sz w:val="21"/>
          <w:szCs w:val="21"/>
        </w:rPr>
        <w:t xml:space="preserve">Gives merchants a clean, auditable financial record of every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FR-9.1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Maintain a double-entry ledger recording deposit, fee, settlement, refund, and FX gain/loss entries.</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Ledger balances reconcile to zero across entry types.</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FR-9.2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Map every ledger entry to a merchant order/invoice reference.</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100% of settled intents have a traceable order reference.</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FR-9.3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Provide native export/connectors to QuickBooks, Xero, and NetSuite.</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Merchant can export a reconciled statement to at least one connector.</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FR-9.4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Provide a reconciliation API/webhook feed for custom ERP integration.</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API returns ledger entries filterable by date, order, and status.</w:t>
            </w:r>
          </w:p>
        </w:tc>
      </w:tr>
    </w:tbl>
    <w:p>
      <w:pPr>
        <w:spacing w:after="200"/>
      </w:pPr>
    </w:p>
    <w:p>
      <w:pPr>
        <w:pStyle w:val="Heading2"/>
        <w:spacing w:after="120" w:before="260"/>
      </w:pPr>
      <w:r>
        <w:rPr>
          <w:b/>
          <w:bCs/>
          <w:color w:val="1A1A2E"/>
          <w:sz w:val="24"/>
          <w:szCs w:val="24"/>
        </w:rPr>
        <w:t xml:space="preserve">7.10 Compliance / KYC Layer</w:t>
      </w:r>
    </w:p>
    <w:p>
      <w:pPr>
        <w:spacing w:after="160" w:line="276"/>
      </w:pPr>
      <w:r>
        <w:rPr>
          <w:i/>
          <w:iCs/>
          <w:color w:val="666666"/>
          <w:sz w:val="21"/>
          <w:szCs w:val="21"/>
        </w:rPr>
        <w:t xml:space="preserve">Keeps the platform screenable and licensable as it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FR-10.1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Screen all deposit and payout addresses against sanctions lists (e.g., OFAC).</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Sanctioned-address matches block settlement automatically.</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FR-10.2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Support configurable KYC triggers by transaction value and jurisdiction.</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P1</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KYC prompt fires above merchant- or jurisdiction-configured thresholds.</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FR-10.3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Support Travel Rule data exchange for VASP-to-VASP transfers where applicable.</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P2</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Required Travel Rule data is captured and transmitted per jurisdiction rules.</w:t>
            </w:r>
          </w:p>
        </w:tc>
      </w:tr>
    </w:tbl>
    <w:p>
      <w:pPr>
        <w:spacing w:after="200"/>
      </w:pPr>
    </w:p>
    <w:p>
      <w:pPr>
        <w:pStyle w:val="Heading2"/>
        <w:spacing w:after="120" w:before="260"/>
      </w:pPr>
      <w:r>
        <w:rPr>
          <w:b/>
          <w:bCs/>
          <w:color w:val="1A1A2E"/>
          <w:sz w:val="24"/>
          <w:szCs w:val="24"/>
        </w:rPr>
        <w:t xml:space="preserve">7.11 Merchant Dashboard &amp; API/SDK</w:t>
      </w:r>
    </w:p>
    <w:p>
      <w:pPr>
        <w:spacing w:after="160" w:line="276"/>
      </w:pPr>
      <w:r>
        <w:rPr>
          <w:i/>
          <w:iCs/>
          <w:color w:val="666666"/>
          <w:sz w:val="21"/>
          <w:szCs w:val="21"/>
        </w:rPr>
        <w:t xml:space="preserve">The primary surface merchants use to configure and monitor the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900"/>
        <w:gridCol w:w="3260"/>
      </w:tblGrid>
      <w:tr>
        <w:trPr>
          <w:tblHeader/>
        </w:trPr>
        <w:tc>
          <w:tcPr>
            <w:tcW w:type="dxa" w:w="900"/>
            <w:shd w:fill="1A1A2E" w:val="clear"/>
            <w:tcMar>
              <w:top w:type="dxa" w:w="80"/>
              <w:left w:type="dxa" w:w="100"/>
              <w:bottom w:type="dxa" w:w="80"/>
              <w:right w:type="dxa" w:w="100"/>
            </w:tcMar>
            <w:vAlign w:val="center"/>
          </w:tcPr>
          <w:p>
            <w:r>
              <w:rPr>
                <w:b/>
                <w:bCs/>
                <w:color w:val="FFFFFF"/>
                <w:sz w:val="19"/>
                <w:szCs w:val="19"/>
              </w:rPr>
              <w:t xml:space="preserve">ID</w:t>
            </w:r>
          </w:p>
        </w:tc>
        <w:tc>
          <w:tcPr>
            <w:tcW w:type="dxa" w:w="43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00"/>
            <w:shd w:fill="1A1A2E" w:val="clear"/>
            <w:tcMar>
              <w:top w:type="dxa" w:w="80"/>
              <w:left w:type="dxa" w:w="100"/>
              <w:bottom w:type="dxa" w:w="80"/>
              <w:right w:type="dxa" w:w="100"/>
            </w:tcMar>
            <w:vAlign w:val="center"/>
          </w:tcPr>
          <w:p>
            <w:r>
              <w:rPr>
                <w:b/>
                <w:bCs/>
                <w:color w:val="FFFFFF"/>
                <w:sz w:val="19"/>
                <w:szCs w:val="19"/>
              </w:rPr>
              <w:t xml:space="preserve">Priority</w:t>
            </w:r>
          </w:p>
        </w:tc>
        <w:tc>
          <w:tcPr>
            <w:tcW w:type="dxa" w:w="3260"/>
            <w:shd w:fill="1A1A2E" w:val="clear"/>
            <w:tcMar>
              <w:top w:type="dxa" w:w="80"/>
              <w:left w:type="dxa" w:w="100"/>
              <w:bottom w:type="dxa" w:w="80"/>
              <w:right w:type="dxa" w:w="100"/>
            </w:tcMar>
            <w:vAlign w:val="center"/>
          </w:tcPr>
          <w:p>
            <w:r>
              <w:rPr>
                <w:b/>
                <w:bCs/>
                <w:color w:val="FFFFFF"/>
                <w:sz w:val="19"/>
                <w:szCs w:val="19"/>
              </w:rPr>
              <w:t xml:space="preserve">Acceptance Criteria</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FR-11.1</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Provide a dashboard showing live transaction status, balances, and settlement history.</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Merchant can view real-time status of any transaction.</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FR-11.2</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Provide a REST API, client SDKs, and a hosted checkout widget.</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Merchant can go live using any one of the three integration paths.</w:t>
            </w:r>
          </w:p>
        </w:tc>
      </w:tr>
      <w:tr>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FR-11.3</w:t>
            </w:r>
          </w:p>
        </w:tc>
        <w:tc>
          <w:tcPr>
            <w:tcW w:type="dxa" w:w="4300"/>
            <w:shd w:fill="FFFFFF" w:val="clear"/>
            <w:tcMar>
              <w:top w:type="dxa" w:w="80"/>
              <w:left w:type="dxa" w:w="100"/>
              <w:bottom w:type="dxa" w:w="80"/>
              <w:right w:type="dxa" w:w="100"/>
            </w:tcMar>
            <w:vAlign w:val="center"/>
          </w:tcPr>
          <w:p>
            <w:r>
              <w:rPr>
                <w:b w:val="false"/>
                <w:bCs w:val="false"/>
                <w:color w:val="1A1A2E"/>
                <w:sz w:val="19"/>
                <w:szCs w:val="19"/>
              </w:rPr>
              <w:t xml:space="preserve">Allow merchants to configure settlement asset/chain, accepted source assets, and webhook endpoints.</w:t>
            </w:r>
          </w:p>
        </w:tc>
        <w:tc>
          <w:tcPr>
            <w:tcW w:type="dxa" w:w="900"/>
            <w:shd w:fill="FFFFFF"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FFFFF" w:val="clear"/>
            <w:tcMar>
              <w:top w:type="dxa" w:w="80"/>
              <w:left w:type="dxa" w:w="100"/>
              <w:bottom w:type="dxa" w:w="80"/>
              <w:right w:type="dxa" w:w="100"/>
            </w:tcMar>
            <w:vAlign w:val="center"/>
          </w:tcPr>
          <w:p>
            <w:r>
              <w:rPr>
                <w:b w:val="false"/>
                <w:bCs w:val="false"/>
                <w:color w:val="1A1A2E"/>
                <w:sz w:val="19"/>
                <w:szCs w:val="19"/>
              </w:rPr>
              <w:t xml:space="preserve">Configuration changes take effect without requiring a redeploy.</w:t>
            </w:r>
          </w:p>
        </w:tc>
      </w:tr>
      <w:tr>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FR-11.4</w:t>
            </w:r>
          </w:p>
        </w:tc>
        <w:tc>
          <w:tcPr>
            <w:tcW w:type="dxa" w:w="4300"/>
            <w:shd w:fill="F2F2F2" w:val="clear"/>
            <w:tcMar>
              <w:top w:type="dxa" w:w="80"/>
              <w:left w:type="dxa" w:w="100"/>
              <w:bottom w:type="dxa" w:w="80"/>
              <w:right w:type="dxa" w:w="100"/>
            </w:tcMar>
            <w:vAlign w:val="center"/>
          </w:tcPr>
          <w:p>
            <w:r>
              <w:rPr>
                <w:b w:val="false"/>
                <w:bCs w:val="false"/>
                <w:color w:val="1A1A2E"/>
                <w:sz w:val="19"/>
                <w:szCs w:val="19"/>
              </w:rPr>
              <w:t xml:space="preserve">Provide a sandbox/test mode for integration testing.</w:t>
            </w:r>
          </w:p>
        </w:tc>
        <w:tc>
          <w:tcPr>
            <w:tcW w:type="dxa" w:w="900"/>
            <w:shd w:fill="F2F2F2" w:val="clear"/>
            <w:tcMar>
              <w:top w:type="dxa" w:w="80"/>
              <w:left w:type="dxa" w:w="100"/>
              <w:bottom w:type="dxa" w:w="80"/>
              <w:right w:type="dxa" w:w="100"/>
            </w:tcMar>
            <w:vAlign w:val="center"/>
          </w:tcPr>
          <w:p>
            <w:r>
              <w:rPr>
                <w:b w:val="false"/>
                <w:bCs w:val="false"/>
                <w:color w:val="1A1A2E"/>
                <w:sz w:val="19"/>
                <w:szCs w:val="19"/>
              </w:rPr>
              <w:t xml:space="preserve">P0</w:t>
            </w:r>
          </w:p>
        </w:tc>
        <w:tc>
          <w:tcPr>
            <w:tcW w:type="dxa" w:w="3260"/>
            <w:shd w:fill="F2F2F2" w:val="clear"/>
            <w:tcMar>
              <w:top w:type="dxa" w:w="80"/>
              <w:left w:type="dxa" w:w="100"/>
              <w:bottom w:type="dxa" w:w="80"/>
              <w:right w:type="dxa" w:w="100"/>
            </w:tcMar>
            <w:vAlign w:val="center"/>
          </w:tcPr>
          <w:p>
            <w:r>
              <w:rPr>
                <w:b w:val="false"/>
                <w:bCs w:val="false"/>
                <w:color w:val="1A1A2E"/>
                <w:sz w:val="19"/>
                <w:szCs w:val="19"/>
              </w:rPr>
              <w:t xml:space="preserve">Merchant can complete a full test transaction without real funds.</w:t>
            </w:r>
          </w:p>
        </w:tc>
      </w:tr>
    </w:tbl>
    <w:p>
      <w:pPr>
        <w:spacing w:after="200"/>
      </w:pPr>
    </w:p>
    <w:p>
      <w:pPr>
        <w:pStyle w:val="Heading1"/>
        <w:spacing w:after="160" w:before="360"/>
      </w:pPr>
      <w:r>
        <w:rPr>
          <w:b/>
          <w:bCs/>
          <w:color w:val="1A1A2E"/>
          <w:sz w:val="30"/>
          <w:szCs w:val="30"/>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gridCol w:w="960"/>
      </w:tblGrid>
      <w:tr>
        <w:trPr>
          <w:tblHeader/>
        </w:trPr>
        <w:tc>
          <w:tcPr>
            <w:tcW w:type="dxa" w:w="1800"/>
            <w:shd w:fill="1A1A2E" w:val="clear"/>
            <w:tcMar>
              <w:top w:type="dxa" w:w="80"/>
              <w:left w:type="dxa" w:w="100"/>
              <w:bottom w:type="dxa" w:w="80"/>
              <w:right w:type="dxa" w:w="100"/>
            </w:tcMar>
            <w:vAlign w:val="center"/>
          </w:tcPr>
          <w:p>
            <w:r>
              <w:rPr>
                <w:b/>
                <w:bCs/>
                <w:color w:val="FFFFFF"/>
                <w:sz w:val="19"/>
                <w:szCs w:val="19"/>
              </w:rPr>
              <w:t xml:space="preserve">Category</w:t>
            </w:r>
          </w:p>
        </w:tc>
        <w:tc>
          <w:tcPr>
            <w:tcW w:type="dxa" w:w="6600"/>
            <w:shd w:fill="1A1A2E" w:val="clear"/>
            <w:tcMar>
              <w:top w:type="dxa" w:w="80"/>
              <w:left w:type="dxa" w:w="100"/>
              <w:bottom w:type="dxa" w:w="80"/>
              <w:right w:type="dxa" w:w="100"/>
            </w:tcMar>
            <w:vAlign w:val="center"/>
          </w:tcPr>
          <w:p>
            <w:r>
              <w:rPr>
                <w:b/>
                <w:bCs/>
                <w:color w:val="FFFFFF"/>
                <w:sz w:val="19"/>
                <w:szCs w:val="19"/>
              </w:rPr>
              <w:t xml:space="preserve">Requirement</w:t>
            </w:r>
          </w:p>
        </w:tc>
        <w:tc>
          <w:tcPr>
            <w:tcW w:type="dxa" w:w="960"/>
            <w:shd w:fill="1A1A2E" w:val="clear"/>
            <w:tcMar>
              <w:top w:type="dxa" w:w="80"/>
              <w:left w:type="dxa" w:w="100"/>
              <w:bottom w:type="dxa" w:w="80"/>
              <w:right w:type="dxa" w:w="100"/>
            </w:tcMar>
            <w:vAlign w:val="center"/>
          </w:tcPr>
          <w:p>
            <w:r>
              <w:rPr>
                <w:b/>
                <w:bCs/>
                <w:color w:val="FFFFFF"/>
                <w:sz w:val="19"/>
                <w:szCs w:val="19"/>
              </w:rPr>
              <w:t xml:space="preserve">Priority</w:t>
            </w:r>
          </w:p>
        </w:tc>
      </w:tr>
      <w:tr>
        <w:tc>
          <w:tcPr>
            <w:tcW w:type="dxa" w:w="1800"/>
            <w:shd w:fill="FFFFFF" w:val="clear"/>
            <w:tcMar>
              <w:top w:type="dxa" w:w="80"/>
              <w:left w:type="dxa" w:w="100"/>
              <w:bottom w:type="dxa" w:w="80"/>
              <w:right w:type="dxa" w:w="100"/>
            </w:tcMar>
            <w:vAlign w:val="center"/>
          </w:tcPr>
          <w:p>
            <w:r>
              <w:rPr>
                <w:b w:val="false"/>
                <w:bCs w:val="false"/>
                <w:color w:val="1A1A2E"/>
                <w:sz w:val="19"/>
                <w:szCs w:val="19"/>
              </w:rPr>
              <w:t xml:space="preserve">Performance</w:t>
            </w:r>
          </w:p>
        </w:tc>
        <w:tc>
          <w:tcPr>
            <w:tcW w:type="dxa" w:w="6600"/>
            <w:shd w:fill="FFFFFF" w:val="clear"/>
            <w:tcMar>
              <w:top w:type="dxa" w:w="80"/>
              <w:left w:type="dxa" w:w="100"/>
              <w:bottom w:type="dxa" w:w="80"/>
              <w:right w:type="dxa" w:w="100"/>
            </w:tcMar>
            <w:vAlign w:val="center"/>
          </w:tcPr>
          <w:p>
            <w:r>
              <w:rPr>
                <w:b w:val="false"/>
                <w:bCs w:val="false"/>
                <w:color w:val="1A1A2E"/>
                <w:sz w:val="19"/>
                <w:szCs w:val="19"/>
              </w:rPr>
              <w:t xml:space="preserve">Quote generation completes in under 2 seconds; deposit detection within chain-appropriate latency (e.g., ≤ 15s on fast chains).</w:t>
            </w:r>
          </w:p>
        </w:tc>
        <w:tc>
          <w:tcPr>
            <w:tcW w:type="dxa" w:w="960"/>
            <w:shd w:fill="FFFFFF"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1800"/>
            <w:shd w:fill="F2F2F2" w:val="clear"/>
            <w:tcMar>
              <w:top w:type="dxa" w:w="80"/>
              <w:left w:type="dxa" w:w="100"/>
              <w:bottom w:type="dxa" w:w="80"/>
              <w:right w:type="dxa" w:w="100"/>
            </w:tcMar>
            <w:vAlign w:val="center"/>
          </w:tcPr>
          <w:p>
            <w:r>
              <w:rPr>
                <w:b w:val="false"/>
                <w:bCs w:val="false"/>
                <w:color w:val="1A1A2E"/>
                <w:sz w:val="19"/>
                <w:szCs w:val="19"/>
              </w:rPr>
              <w:t xml:space="preserve">Availability</w:t>
            </w:r>
          </w:p>
        </w:tc>
        <w:tc>
          <w:tcPr>
            <w:tcW w:type="dxa" w:w="6600"/>
            <w:shd w:fill="F2F2F2" w:val="clear"/>
            <w:tcMar>
              <w:top w:type="dxa" w:w="80"/>
              <w:left w:type="dxa" w:w="100"/>
              <w:bottom w:type="dxa" w:w="80"/>
              <w:right w:type="dxa" w:w="100"/>
            </w:tcMar>
            <w:vAlign w:val="center"/>
          </w:tcPr>
          <w:p>
            <w:r>
              <w:rPr>
                <w:b w:val="false"/>
                <w:bCs w:val="false"/>
                <w:color w:val="1A1A2E"/>
                <w:sz w:val="19"/>
                <w:szCs w:val="19"/>
              </w:rPr>
              <w:t xml:space="preserve">99.9% uptime for the public API; chain watchers run redundantly per chain to avoid single-provider outages.</w:t>
            </w:r>
          </w:p>
        </w:tc>
        <w:tc>
          <w:tcPr>
            <w:tcW w:type="dxa" w:w="960"/>
            <w:shd w:fill="F2F2F2"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1800"/>
            <w:shd w:fill="FFFFFF" w:val="clear"/>
            <w:tcMar>
              <w:top w:type="dxa" w:w="80"/>
              <w:left w:type="dxa" w:w="100"/>
              <w:bottom w:type="dxa" w:w="80"/>
              <w:right w:type="dxa" w:w="100"/>
            </w:tcMar>
            <w:vAlign w:val="center"/>
          </w:tcPr>
          <w:p>
            <w:r>
              <w:rPr>
                <w:b w:val="false"/>
                <w:bCs w:val="false"/>
                <w:color w:val="1A1A2E"/>
                <w:sz w:val="19"/>
                <w:szCs w:val="19"/>
              </w:rPr>
              <w:t xml:space="preserve">Security</w:t>
            </w:r>
          </w:p>
        </w:tc>
        <w:tc>
          <w:tcPr>
            <w:tcW w:type="dxa" w:w="6600"/>
            <w:shd w:fill="FFFFFF" w:val="clear"/>
            <w:tcMar>
              <w:top w:type="dxa" w:w="80"/>
              <w:left w:type="dxa" w:w="100"/>
              <w:bottom w:type="dxa" w:w="80"/>
              <w:right w:type="dxa" w:w="100"/>
            </w:tcMar>
            <w:vAlign w:val="center"/>
          </w:tcPr>
          <w:p>
            <w:r>
              <w:rPr>
                <w:b w:val="false"/>
                <w:bCs w:val="false"/>
                <w:color w:val="1A1A2E"/>
                <w:sz w:val="19"/>
                <w:szCs w:val="19"/>
              </w:rPr>
              <w:t xml:space="preserve">Deposit-address contracts and treasury logic independently audited; treasury custody via MPC or multi-sig with withdrawal limits.</w:t>
            </w:r>
          </w:p>
        </w:tc>
        <w:tc>
          <w:tcPr>
            <w:tcW w:type="dxa" w:w="960"/>
            <w:shd w:fill="FFFFFF"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1800"/>
            <w:shd w:fill="F2F2F2" w:val="clear"/>
            <w:tcMar>
              <w:top w:type="dxa" w:w="80"/>
              <w:left w:type="dxa" w:w="100"/>
              <w:bottom w:type="dxa" w:w="80"/>
              <w:right w:type="dxa" w:w="100"/>
            </w:tcMar>
            <w:vAlign w:val="center"/>
          </w:tcPr>
          <w:p>
            <w:r>
              <w:rPr>
                <w:b w:val="false"/>
                <w:bCs w:val="false"/>
                <w:color w:val="1A1A2E"/>
                <w:sz w:val="19"/>
                <w:szCs w:val="19"/>
              </w:rPr>
              <w:t xml:space="preserve">Scalability</w:t>
            </w:r>
          </w:p>
        </w:tc>
        <w:tc>
          <w:tcPr>
            <w:tcW w:type="dxa" w:w="6600"/>
            <w:shd w:fill="F2F2F2" w:val="clear"/>
            <w:tcMar>
              <w:top w:type="dxa" w:w="80"/>
              <w:left w:type="dxa" w:w="100"/>
              <w:bottom w:type="dxa" w:w="80"/>
              <w:right w:type="dxa" w:w="100"/>
            </w:tcMar>
            <w:vAlign w:val="center"/>
          </w:tcPr>
          <w:p>
            <w:r>
              <w:rPr>
                <w:b w:val="false"/>
                <w:bCs w:val="false"/>
                <w:color w:val="1A1A2E"/>
                <w:sz w:val="19"/>
                <w:szCs w:val="19"/>
              </w:rPr>
              <w:t xml:space="preserve">Chain watchers and intent service scale horizontally and independently per chain.</w:t>
            </w:r>
          </w:p>
        </w:tc>
        <w:tc>
          <w:tcPr>
            <w:tcW w:type="dxa" w:w="960"/>
            <w:shd w:fill="F2F2F2" w:val="clear"/>
            <w:tcMar>
              <w:top w:type="dxa" w:w="80"/>
              <w:left w:type="dxa" w:w="100"/>
              <w:bottom w:type="dxa" w:w="80"/>
              <w:right w:type="dxa" w:w="100"/>
            </w:tcMar>
            <w:vAlign w:val="center"/>
          </w:tcPr>
          <w:p>
            <w:r>
              <w:rPr>
                <w:b w:val="false"/>
                <w:bCs w:val="false"/>
                <w:color w:val="1A1A2E"/>
                <w:sz w:val="19"/>
                <w:szCs w:val="19"/>
              </w:rPr>
              <w:t xml:space="preserve">P1</w:t>
            </w:r>
          </w:p>
        </w:tc>
      </w:tr>
      <w:tr>
        <w:tc>
          <w:tcPr>
            <w:tcW w:type="dxa" w:w="1800"/>
            <w:shd w:fill="FFFFFF" w:val="clear"/>
            <w:tcMar>
              <w:top w:type="dxa" w:w="80"/>
              <w:left w:type="dxa" w:w="100"/>
              <w:bottom w:type="dxa" w:w="80"/>
              <w:right w:type="dxa" w:w="100"/>
            </w:tcMar>
            <w:vAlign w:val="center"/>
          </w:tcPr>
          <w:p>
            <w:r>
              <w:rPr>
                <w:b w:val="false"/>
                <w:bCs w:val="false"/>
                <w:color w:val="1A1A2E"/>
                <w:sz w:val="19"/>
                <w:szCs w:val="19"/>
              </w:rPr>
              <w:t xml:space="preserve">Compliance</w:t>
            </w:r>
          </w:p>
        </w:tc>
        <w:tc>
          <w:tcPr>
            <w:tcW w:type="dxa" w:w="6600"/>
            <w:shd w:fill="FFFFFF" w:val="clear"/>
            <w:tcMar>
              <w:top w:type="dxa" w:w="80"/>
              <w:left w:type="dxa" w:w="100"/>
              <w:bottom w:type="dxa" w:w="80"/>
              <w:right w:type="dxa" w:w="100"/>
            </w:tcMar>
            <w:vAlign w:val="center"/>
          </w:tcPr>
          <w:p>
            <w:r>
              <w:rPr>
                <w:b w:val="false"/>
                <w:bCs w:val="false"/>
                <w:color w:val="1A1A2E"/>
                <w:sz w:val="19"/>
                <w:szCs w:val="19"/>
              </w:rPr>
              <w:t xml:space="preserve">SOC 2 roadmap; jurisdiction-specific licensing (money transmitter/VASP) tracked against go-live markets.</w:t>
            </w:r>
          </w:p>
        </w:tc>
        <w:tc>
          <w:tcPr>
            <w:tcW w:type="dxa" w:w="960"/>
            <w:shd w:fill="FFFFFF" w:val="clear"/>
            <w:tcMar>
              <w:top w:type="dxa" w:w="80"/>
              <w:left w:type="dxa" w:w="100"/>
              <w:bottom w:type="dxa" w:w="80"/>
              <w:right w:type="dxa" w:w="100"/>
            </w:tcMar>
            <w:vAlign w:val="center"/>
          </w:tcPr>
          <w:p>
            <w:r>
              <w:rPr>
                <w:b w:val="false"/>
                <w:bCs w:val="false"/>
                <w:color w:val="1A1A2E"/>
                <w:sz w:val="19"/>
                <w:szCs w:val="19"/>
              </w:rPr>
              <w:t xml:space="preserve">P1</w:t>
            </w:r>
          </w:p>
        </w:tc>
      </w:tr>
      <w:tr>
        <w:tc>
          <w:tcPr>
            <w:tcW w:type="dxa" w:w="1800"/>
            <w:shd w:fill="F2F2F2" w:val="clear"/>
            <w:tcMar>
              <w:top w:type="dxa" w:w="80"/>
              <w:left w:type="dxa" w:w="100"/>
              <w:bottom w:type="dxa" w:w="80"/>
              <w:right w:type="dxa" w:w="100"/>
            </w:tcMar>
            <w:vAlign w:val="center"/>
          </w:tcPr>
          <w:p>
            <w:r>
              <w:rPr>
                <w:b w:val="false"/>
                <w:bCs w:val="false"/>
                <w:color w:val="1A1A2E"/>
                <w:sz w:val="19"/>
                <w:szCs w:val="19"/>
              </w:rPr>
              <w:t xml:space="preserve">Observability</w:t>
            </w:r>
          </w:p>
        </w:tc>
        <w:tc>
          <w:tcPr>
            <w:tcW w:type="dxa" w:w="6600"/>
            <w:shd w:fill="F2F2F2" w:val="clear"/>
            <w:tcMar>
              <w:top w:type="dxa" w:w="80"/>
              <w:left w:type="dxa" w:w="100"/>
              <w:bottom w:type="dxa" w:w="80"/>
              <w:right w:type="dxa" w:w="100"/>
            </w:tcMar>
            <w:vAlign w:val="center"/>
          </w:tcPr>
          <w:p>
            <w:r>
              <w:rPr>
                <w:b w:val="false"/>
                <w:bCs w:val="false"/>
                <w:color w:val="1A1A2E"/>
                <w:sz w:val="19"/>
                <w:szCs w:val="19"/>
              </w:rPr>
              <w:t xml:space="preserve">Full audit logging of routing decisions, state transitions, and settlement actions, retained per regulatory requirement.</w:t>
            </w:r>
          </w:p>
        </w:tc>
        <w:tc>
          <w:tcPr>
            <w:tcW w:type="dxa" w:w="960"/>
            <w:shd w:fill="F2F2F2" w:val="clear"/>
            <w:tcMar>
              <w:top w:type="dxa" w:w="80"/>
              <w:left w:type="dxa" w:w="100"/>
              <w:bottom w:type="dxa" w:w="80"/>
              <w:right w:type="dxa" w:w="100"/>
            </w:tcMar>
            <w:vAlign w:val="center"/>
          </w:tcPr>
          <w:p>
            <w:r>
              <w:rPr>
                <w:b w:val="false"/>
                <w:bCs w:val="false"/>
                <w:color w:val="1A1A2E"/>
                <w:sz w:val="19"/>
                <w:szCs w:val="19"/>
              </w:rPr>
              <w:t xml:space="preserve">P0</w:t>
            </w:r>
          </w:p>
        </w:tc>
      </w:tr>
      <w:tr>
        <w:tc>
          <w:tcPr>
            <w:tcW w:type="dxa" w:w="1800"/>
            <w:shd w:fill="FFFFFF" w:val="clear"/>
            <w:tcMar>
              <w:top w:type="dxa" w:w="80"/>
              <w:left w:type="dxa" w:w="100"/>
              <w:bottom w:type="dxa" w:w="80"/>
              <w:right w:type="dxa" w:w="100"/>
            </w:tcMar>
            <w:vAlign w:val="center"/>
          </w:tcPr>
          <w:p>
            <w:r>
              <w:rPr>
                <w:b w:val="false"/>
                <w:bCs w:val="false"/>
                <w:color w:val="1A1A2E"/>
                <w:sz w:val="19"/>
                <w:szCs w:val="19"/>
              </w:rPr>
              <w:t xml:space="preserve">Data Privacy</w:t>
            </w:r>
          </w:p>
        </w:tc>
        <w:tc>
          <w:tcPr>
            <w:tcW w:type="dxa" w:w="6600"/>
            <w:shd w:fill="FFFFFF" w:val="clear"/>
            <w:tcMar>
              <w:top w:type="dxa" w:w="80"/>
              <w:left w:type="dxa" w:w="100"/>
              <w:bottom w:type="dxa" w:w="80"/>
              <w:right w:type="dxa" w:w="100"/>
            </w:tcMar>
            <w:vAlign w:val="center"/>
          </w:tcPr>
          <w:p>
            <w:r>
              <w:rPr>
                <w:b w:val="false"/>
                <w:bCs w:val="false"/>
                <w:color w:val="1A1A2E"/>
                <w:sz w:val="19"/>
                <w:szCs w:val="19"/>
              </w:rPr>
              <w:t xml:space="preserve">Customer wallet and transaction data handled per applicable data protection law (e.g., GDPR where relevant).</w:t>
            </w:r>
          </w:p>
        </w:tc>
        <w:tc>
          <w:tcPr>
            <w:tcW w:type="dxa" w:w="960"/>
            <w:shd w:fill="FFFFFF" w:val="clear"/>
            <w:tcMar>
              <w:top w:type="dxa" w:w="80"/>
              <w:left w:type="dxa" w:w="100"/>
              <w:bottom w:type="dxa" w:w="80"/>
              <w:right w:type="dxa" w:w="100"/>
            </w:tcMar>
            <w:vAlign w:val="center"/>
          </w:tcPr>
          <w:p>
            <w:r>
              <w:rPr>
                <w:b w:val="false"/>
                <w:bCs w:val="false"/>
                <w:color w:val="1A1A2E"/>
                <w:sz w:val="19"/>
                <w:szCs w:val="19"/>
              </w:rPr>
              <w:t xml:space="preserve">P1</w:t>
            </w:r>
          </w:p>
        </w:tc>
      </w:tr>
    </w:tbl>
    <w:p>
      <w:pPr>
        <w:pStyle w:val="Heading1"/>
        <w:spacing w:after="160" w:before="360"/>
      </w:pPr>
      <w:r>
        <w:rPr>
          <w:b/>
          <w:bCs/>
          <w:color w:val="1A1A2E"/>
          <w:sz w:val="30"/>
          <w:szCs w:val="30"/>
        </w:rPr>
        <w:t xml:space="preserve">9. Core User Journeys</w:t>
      </w:r>
    </w:p>
    <w:p>
      <w:pPr>
        <w:pStyle w:val="Heading2"/>
        <w:spacing w:after="120" w:before="260"/>
      </w:pPr>
      <w:r>
        <w:rPr>
          <w:b/>
          <w:bCs/>
          <w:color w:val="1A1A2E"/>
          <w:sz w:val="24"/>
          <w:szCs w:val="24"/>
        </w:rPr>
        <w:t xml:space="preserve">9.1 Customer Payment Flow</w:t>
      </w:r>
    </w:p>
    <w:p>
      <w:pPr>
        <w:pStyle w:val="ListParagraph"/>
        <w:numPr>
          <w:ilvl w:val="0"/>
          <w:numId w:val="3"/>
        </w:numPr>
        <w:spacing w:after="80"/>
      </w:pPr>
      <w:r>
        <w:rPr>
          <w:sz w:val="21"/>
          <w:szCs w:val="21"/>
        </w:rPr>
        <w:t xml:space="preserve">Customer initiates checkout; merchant's system creates a Payment Intent via API.</w:t>
      </w:r>
    </w:p>
    <w:p>
      <w:pPr>
        <w:pStyle w:val="ListParagraph"/>
        <w:numPr>
          <w:ilvl w:val="0"/>
          <w:numId w:val="3"/>
        </w:numPr>
        <w:spacing w:after="80"/>
      </w:pPr>
      <w:r>
        <w:rPr>
          <w:sz w:val="21"/>
          <w:szCs w:val="21"/>
        </w:rPr>
        <w:t xml:space="preserve">System returns a rate-locked quote and a dedicated deposit address, with TTL displayed.</w:t>
      </w:r>
    </w:p>
    <w:p>
      <w:pPr>
        <w:pStyle w:val="ListParagraph"/>
        <w:numPr>
          <w:ilvl w:val="0"/>
          <w:numId w:val="3"/>
        </w:numPr>
        <w:spacing w:after="80"/>
      </w:pPr>
      <w:r>
        <w:rPr>
          <w:sz w:val="21"/>
          <w:szCs w:val="21"/>
        </w:rPr>
        <w:t xml:space="preserve">Customer pays from any supported wallet/chain/asset — no gas token required.</w:t>
      </w:r>
    </w:p>
    <w:p>
      <w:pPr>
        <w:pStyle w:val="ListParagraph"/>
        <w:numPr>
          <w:ilvl w:val="0"/>
          <w:numId w:val="3"/>
        </w:numPr>
        <w:spacing w:after="80"/>
      </w:pPr>
      <w:r>
        <w:rPr>
          <w:sz w:val="21"/>
          <w:szCs w:val="21"/>
        </w:rPr>
        <w:t xml:space="preserve">Chain watcher detects the deposit; routing engine selects the optimal settlement path.</w:t>
      </w:r>
    </w:p>
    <w:p>
      <w:pPr>
        <w:pStyle w:val="ListParagraph"/>
        <w:numPr>
          <w:ilvl w:val="0"/>
          <w:numId w:val="3"/>
        </w:numPr>
        <w:spacing w:after="80"/>
      </w:pPr>
      <w:r>
        <w:rPr>
          <w:sz w:val="21"/>
          <w:szCs w:val="21"/>
        </w:rPr>
        <w:t xml:space="preserve">Funds are routed and converted; settlement is executed to the merchant's configured asset/chain.</w:t>
      </w:r>
    </w:p>
    <w:p>
      <w:pPr>
        <w:pStyle w:val="ListParagraph"/>
        <w:numPr>
          <w:ilvl w:val="0"/>
          <w:numId w:val="3"/>
        </w:numPr>
        <w:spacing w:after="80"/>
      </w:pPr>
      <w:r>
        <w:rPr>
          <w:sz w:val="21"/>
          <w:szCs w:val="21"/>
        </w:rPr>
        <w:t xml:space="preserve">Merchant receives a webhook confirming settlement; ledger entry is created and linked to the order.</w:t>
      </w:r>
    </w:p>
    <w:p>
      <w:pPr>
        <w:pStyle w:val="Heading2"/>
        <w:spacing w:after="120" w:before="260"/>
      </w:pPr>
      <w:r>
        <w:rPr>
          <w:b/>
          <w:bCs/>
          <w:color w:val="1A1A2E"/>
          <w:sz w:val="24"/>
          <w:szCs w:val="24"/>
        </w:rPr>
        <w:t xml:space="preserve">9.2 Merchant Onboarding Flow</w:t>
      </w:r>
    </w:p>
    <w:p>
      <w:pPr>
        <w:pStyle w:val="ListParagraph"/>
        <w:numPr>
          <w:ilvl w:val="0"/>
          <w:numId w:val="3"/>
        </w:numPr>
        <w:spacing w:after="80"/>
      </w:pPr>
      <w:r>
        <w:rPr>
          <w:sz w:val="21"/>
          <w:szCs w:val="21"/>
        </w:rPr>
        <w:t xml:space="preserve">Merchant signs up and completes business verification (KYB).</w:t>
      </w:r>
    </w:p>
    <w:p>
      <w:pPr>
        <w:pStyle w:val="ListParagraph"/>
        <w:numPr>
          <w:ilvl w:val="0"/>
          <w:numId w:val="3"/>
        </w:numPr>
        <w:spacing w:after="80"/>
      </w:pPr>
      <w:r>
        <w:rPr>
          <w:sz w:val="21"/>
          <w:szCs w:val="21"/>
        </w:rPr>
        <w:t xml:space="preserve">Merchant configures settlement asset/chain, accepted source assets, and webhook endpoints.</w:t>
      </w:r>
    </w:p>
    <w:p>
      <w:pPr>
        <w:pStyle w:val="ListParagraph"/>
        <w:numPr>
          <w:ilvl w:val="0"/>
          <w:numId w:val="3"/>
        </w:numPr>
        <w:spacing w:after="80"/>
      </w:pPr>
      <w:r>
        <w:rPr>
          <w:sz w:val="21"/>
          <w:szCs w:val="21"/>
        </w:rPr>
        <w:t xml:space="preserve">Merchant integrates via API, SDK, or hosted checkout widget, testing in sandbox mode.</w:t>
      </w:r>
    </w:p>
    <w:p>
      <w:pPr>
        <w:pStyle w:val="ListParagraph"/>
        <w:numPr>
          <w:ilvl w:val="0"/>
          <w:numId w:val="3"/>
        </w:numPr>
        <w:spacing w:after="80"/>
      </w:pPr>
      <w:r>
        <w:rPr>
          <w:sz w:val="21"/>
          <w:szCs w:val="21"/>
        </w:rPr>
        <w:t xml:space="preserve">Merchant connects an accounting system (optional) for automatic reconciliation export.</w:t>
      </w:r>
    </w:p>
    <w:p>
      <w:pPr>
        <w:pStyle w:val="ListParagraph"/>
        <w:numPr>
          <w:ilvl w:val="0"/>
          <w:numId w:val="3"/>
        </w:numPr>
        <w:spacing w:after="80"/>
      </w:pPr>
      <w:r>
        <w:rPr>
          <w:sz w:val="21"/>
          <w:szCs w:val="21"/>
        </w:rPr>
        <w:t xml:space="preserve">Merchant goes live and monitors transactions via the dashboard.</w:t>
      </w:r>
    </w:p>
    <w:p>
      <w:pPr>
        <w:pStyle w:val="Heading2"/>
        <w:spacing w:after="120" w:before="260"/>
      </w:pPr>
      <w:r>
        <w:rPr>
          <w:b/>
          <w:bCs/>
          <w:color w:val="1A1A2E"/>
          <w:sz w:val="24"/>
          <w:szCs w:val="24"/>
        </w:rPr>
        <w:t xml:space="preserve">9.3 Recovery Flow (Underpayment Example)</w:t>
      </w:r>
    </w:p>
    <w:p>
      <w:pPr>
        <w:pStyle w:val="ListParagraph"/>
        <w:numPr>
          <w:ilvl w:val="0"/>
          <w:numId w:val="3"/>
        </w:numPr>
        <w:spacing w:after="80"/>
      </w:pPr>
      <w:r>
        <w:rPr>
          <w:sz w:val="21"/>
          <w:szCs w:val="21"/>
        </w:rPr>
        <w:t xml:space="preserve">System detects a deposit below the quoted target amount.</w:t>
      </w:r>
    </w:p>
    <w:p>
      <w:pPr>
        <w:pStyle w:val="ListParagraph"/>
        <w:numPr>
          <w:ilvl w:val="0"/>
          <w:numId w:val="3"/>
        </w:numPr>
        <w:spacing w:after="80"/>
      </w:pPr>
      <w:r>
        <w:rPr>
          <w:sz w:val="21"/>
          <w:szCs w:val="21"/>
        </w:rPr>
        <w:t xml:space="preserve">Intent transitions to Underpaid; customer is shown the exact shortfall and a top-up link.</w:t>
      </w:r>
    </w:p>
    <w:p>
      <w:pPr>
        <w:pStyle w:val="ListParagraph"/>
        <w:numPr>
          <w:ilvl w:val="0"/>
          <w:numId w:val="3"/>
        </w:numPr>
        <w:spacing w:after="80"/>
      </w:pPr>
      <w:r>
        <w:rPr>
          <w:sz w:val="21"/>
          <w:szCs w:val="21"/>
        </w:rPr>
        <w:t xml:space="preserve">Customer completes the top-up within the rate-lock TTL (or receives a re-quote if expired).</w:t>
      </w:r>
    </w:p>
    <w:p>
      <w:pPr>
        <w:pStyle w:val="ListParagraph"/>
        <w:numPr>
          <w:ilvl w:val="0"/>
          <w:numId w:val="3"/>
        </w:numPr>
        <w:spacing w:after="80"/>
      </w:pPr>
      <w:r>
        <w:rPr>
          <w:sz w:val="21"/>
          <w:szCs w:val="21"/>
        </w:rPr>
        <w:t xml:space="preserve">System verifies the combined deposits meet the target amount and proceeds to routing/settlement.</w:t>
      </w:r>
    </w:p>
    <w:p>
      <w:pPr>
        <w:pStyle w:val="Heading1"/>
        <w:spacing w:after="160" w:before="360"/>
      </w:pPr>
      <w:r>
        <w:rPr>
          <w:b/>
          <w:bCs/>
          <w:color w:val="1A1A2E"/>
          <w:sz w:val="30"/>
          <w:szCs w:val="30"/>
        </w:rPr>
        <w:t xml:space="preserve">10. Architecture Overview</w:t>
      </w:r>
    </w:p>
    <w:p>
      <w:pPr>
        <w:spacing w:after="160" w:line="276"/>
      </w:pPr>
      <w:r>
        <w:rPr>
          <w:sz w:val="21"/>
          <w:szCs w:val="21"/>
        </w:rPr>
        <w:t xml:space="preserve">This PRD is paired with a companion Technical Architecture Document, which details the full system design: the Payment Intent Service, Routing Engine, Gas Abstraction Layer, Rate Lock/Risk Engine, Deposit Address/Smart Wallet Layer, Chain Watchers, Settlement Service, Recovery Service, Reconciliation &amp; Ledger, and Compliance Layer, along with the data model, chain/asset rollout plan, and security model. Section 7 of this document defines the requirements that architecture is built to satisfy; the architecture document defines how those requirements are met.</w:t>
      </w:r>
    </w:p>
    <w:p>
      <w:pPr>
        <w:pStyle w:val="Heading1"/>
        <w:spacing w:after="160" w:before="360"/>
      </w:pPr>
      <w:r>
        <w:rPr>
          <w:b/>
          <w:bCs/>
          <w:color w:val="1A1A2E"/>
          <w:sz w:val="30"/>
          <w:szCs w:val="30"/>
        </w:rPr>
        <w:t xml:space="preserve">11. Success Metrics</w:t>
      </w:r>
    </w:p>
    <w:p>
      <w:pPr>
        <w:pStyle w:val="ListParagraph"/>
        <w:numPr>
          <w:ilvl w:val="0"/>
          <w:numId w:val="2"/>
        </w:numPr>
        <w:spacing w:after="80"/>
      </w:pPr>
      <w:r>
        <w:rPr>
          <w:sz w:val="21"/>
          <w:szCs w:val="21"/>
        </w:rPr>
        <w:t xml:space="preserve">Payment success rate: percentage of initiated checkouts that reach Settled status.</w:t>
      </w:r>
    </w:p>
    <w:p>
      <w:pPr>
        <w:pStyle w:val="ListParagraph"/>
        <w:numPr>
          <w:ilvl w:val="0"/>
          <w:numId w:val="2"/>
        </w:numPr>
        <w:spacing w:after="80"/>
      </w:pPr>
      <w:r>
        <w:rPr>
          <w:sz w:val="21"/>
          <w:szCs w:val="21"/>
        </w:rPr>
        <w:t xml:space="preserve">Average time-to-settlement, measured from deposit detection to merchant payout confirmation.</w:t>
      </w:r>
    </w:p>
    <w:p>
      <w:pPr>
        <w:pStyle w:val="ListParagraph"/>
        <w:numPr>
          <w:ilvl w:val="0"/>
          <w:numId w:val="2"/>
        </w:numPr>
        <w:spacing w:after="80"/>
      </w:pPr>
      <w:r>
        <w:rPr>
          <w:sz w:val="21"/>
          <w:szCs w:val="21"/>
        </w:rPr>
        <w:t xml:space="preserve">Recovery resolution rate: percentage of underpaid/overpaid/misdirected cases resolved without manual ops involvement.</w:t>
      </w:r>
    </w:p>
    <w:p>
      <w:pPr>
        <w:pStyle w:val="ListParagraph"/>
        <w:numPr>
          <w:ilvl w:val="0"/>
          <w:numId w:val="2"/>
        </w:numPr>
        <w:spacing w:after="80"/>
      </w:pPr>
      <w:r>
        <w:rPr>
          <w:sz w:val="21"/>
          <w:szCs w:val="21"/>
        </w:rPr>
        <w:t xml:space="preserve">Reconciliation match rate: percentage of ledger entries auto-matched to an order/invoice with no manual correction.</w:t>
      </w:r>
    </w:p>
    <w:p>
      <w:pPr>
        <w:pStyle w:val="ListParagraph"/>
        <w:numPr>
          <w:ilvl w:val="0"/>
          <w:numId w:val="2"/>
        </w:numPr>
        <w:spacing w:after="80"/>
      </w:pPr>
      <w:r>
        <w:rPr>
          <w:sz w:val="21"/>
          <w:szCs w:val="21"/>
        </w:rPr>
        <w:t xml:space="preserve">Gas-abstraction adoption: percentage of transactions completed without the customer holding native gas.</w:t>
      </w:r>
    </w:p>
    <w:p>
      <w:pPr>
        <w:pStyle w:val="ListParagraph"/>
        <w:numPr>
          <w:ilvl w:val="0"/>
          <w:numId w:val="2"/>
        </w:numPr>
        <w:spacing w:after="80"/>
      </w:pPr>
      <w:r>
        <w:rPr>
          <w:sz w:val="21"/>
          <w:szCs w:val="21"/>
        </w:rPr>
        <w:t xml:space="preserve">Merchant NPS / satisfaction score post-onboarding.</w:t>
      </w:r>
    </w:p>
    <w:p>
      <w:pPr>
        <w:pStyle w:val="Heading1"/>
        <w:spacing w:after="160" w:before="360"/>
      </w:pPr>
      <w:r>
        <w:rPr>
          <w:b/>
          <w:bCs/>
          <w:color w:val="1A1A2E"/>
          <w:sz w:val="30"/>
          <w:szCs w:val="30"/>
        </w:rPr>
        <w:t xml:space="preserve">12. Assumptions &amp; Dependencies</w:t>
      </w:r>
    </w:p>
    <w:p>
      <w:pPr>
        <w:pStyle w:val="ListParagraph"/>
        <w:numPr>
          <w:ilvl w:val="0"/>
          <w:numId w:val="2"/>
        </w:numPr>
        <w:spacing w:after="80"/>
      </w:pPr>
      <w:r>
        <w:rPr>
          <w:sz w:val="21"/>
          <w:szCs w:val="21"/>
        </w:rPr>
        <w:t xml:space="preserve">Third-party bridge/DEX aggregators maintain sufficient uptime and liquidity for the supported chain set.</w:t>
      </w:r>
    </w:p>
    <w:p>
      <w:pPr>
        <w:pStyle w:val="ListParagraph"/>
        <w:numPr>
          <w:ilvl w:val="0"/>
          <w:numId w:val="2"/>
        </w:numPr>
        <w:spacing w:after="80"/>
      </w:pPr>
      <w:r>
        <w:rPr>
          <w:sz w:val="21"/>
          <w:szCs w:val="21"/>
        </w:rPr>
        <w:t xml:space="preserve">RPC/indexer providers offer reliable, low-latency access per supported chain.</w:t>
      </w:r>
    </w:p>
    <w:p>
      <w:pPr>
        <w:pStyle w:val="ListParagraph"/>
        <w:numPr>
          <w:ilvl w:val="0"/>
          <w:numId w:val="2"/>
        </w:numPr>
        <w:spacing w:after="80"/>
      </w:pPr>
      <w:r>
        <w:rPr>
          <w:sz w:val="21"/>
          <w:szCs w:val="21"/>
        </w:rPr>
        <w:t xml:space="preserve">A compliance/sanctions-screening data vendor is integrated prior to processing live merchant volume.</w:t>
      </w:r>
    </w:p>
    <w:p>
      <w:pPr>
        <w:pStyle w:val="ListParagraph"/>
        <w:numPr>
          <w:ilvl w:val="0"/>
          <w:numId w:val="2"/>
        </w:numPr>
        <w:spacing w:after="80"/>
      </w:pPr>
      <w:r>
        <w:rPr>
          <w:sz w:val="21"/>
          <w:szCs w:val="21"/>
        </w:rPr>
        <w:t xml:space="preserve">Sufficient treasury working capital is allocated to back the rate-lock guarantee at expected transaction volumes.</w:t>
      </w:r>
    </w:p>
    <w:p>
      <w:pPr>
        <w:pStyle w:val="Heading1"/>
        <w:spacing w:after="160" w:before="360"/>
      </w:pPr>
      <w:r>
        <w:rPr>
          <w:b/>
          <w:bCs/>
          <w:color w:val="1A1A2E"/>
          <w:sz w:val="30"/>
          <w:szCs w:val="30"/>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shd w:fill="1A1A2E" w:val="clear"/>
            <w:tcMar>
              <w:top w:type="dxa" w:w="80"/>
              <w:left w:type="dxa" w:w="100"/>
              <w:bottom w:type="dxa" w:w="80"/>
              <w:right w:type="dxa" w:w="100"/>
            </w:tcMar>
            <w:vAlign w:val="center"/>
          </w:tcPr>
          <w:p>
            <w:r>
              <w:rPr>
                <w:b/>
                <w:bCs/>
                <w:color w:val="FFFFFF"/>
                <w:sz w:val="19"/>
                <w:szCs w:val="19"/>
              </w:rPr>
              <w:t xml:space="preserve">Risk</w:t>
            </w:r>
          </w:p>
        </w:tc>
        <w:tc>
          <w:tcPr>
            <w:tcW w:type="dxa" w:w="2800"/>
            <w:shd w:fill="1A1A2E" w:val="clear"/>
            <w:tcMar>
              <w:top w:type="dxa" w:w="80"/>
              <w:left w:type="dxa" w:w="100"/>
              <w:bottom w:type="dxa" w:w="80"/>
              <w:right w:type="dxa" w:w="100"/>
            </w:tcMar>
            <w:vAlign w:val="center"/>
          </w:tcPr>
          <w:p>
            <w:r>
              <w:rPr>
                <w:b/>
                <w:bCs/>
                <w:color w:val="FFFFFF"/>
                <w:sz w:val="19"/>
                <w:szCs w:val="19"/>
              </w:rPr>
              <w:t xml:space="preserve">Impact</w:t>
            </w:r>
          </w:p>
        </w:tc>
        <w:tc>
          <w:tcPr>
            <w:tcW w:type="dxa" w:w="3760"/>
            <w:shd w:fill="1A1A2E" w:val="clear"/>
            <w:tcMar>
              <w:top w:type="dxa" w:w="80"/>
              <w:left w:type="dxa" w:w="100"/>
              <w:bottom w:type="dxa" w:w="80"/>
              <w:right w:type="dxa" w:w="100"/>
            </w:tcMar>
            <w:vAlign w:val="center"/>
          </w:tcPr>
          <w:p>
            <w:r>
              <w:rPr>
                <w:b/>
                <w:bCs/>
                <w:color w:val="FFFFFF"/>
                <w:sz w:val="19"/>
                <w:szCs w:val="19"/>
              </w:rPr>
              <w:t xml:space="preserve">Mitigation</w:t>
            </w:r>
          </w:p>
        </w:tc>
      </w:tr>
      <w:tr>
        <w:tc>
          <w:tcPr>
            <w:tcW w:type="dxa" w:w="2800"/>
            <w:shd w:fill="FFFFFF" w:val="clear"/>
            <w:tcMar>
              <w:top w:type="dxa" w:w="80"/>
              <w:left w:type="dxa" w:w="100"/>
              <w:bottom w:type="dxa" w:w="80"/>
              <w:right w:type="dxa" w:w="100"/>
            </w:tcMar>
            <w:vAlign w:val="center"/>
          </w:tcPr>
          <w:p>
            <w:r>
              <w:rPr>
                <w:b w:val="false"/>
                <w:bCs w:val="false"/>
                <w:color w:val="1A1A2E"/>
                <w:sz w:val="19"/>
                <w:szCs w:val="19"/>
              </w:rPr>
              <w:t xml:space="preserve">Bridge/aggregator provider downtime</w:t>
            </w:r>
          </w:p>
        </w:tc>
        <w:tc>
          <w:tcPr>
            <w:tcW w:type="dxa" w:w="2800"/>
            <w:shd w:fill="FFFFFF" w:val="clear"/>
            <w:tcMar>
              <w:top w:type="dxa" w:w="80"/>
              <w:left w:type="dxa" w:w="100"/>
              <w:bottom w:type="dxa" w:w="80"/>
              <w:right w:type="dxa" w:w="100"/>
            </w:tcMar>
            <w:vAlign w:val="center"/>
          </w:tcPr>
          <w:p>
            <w:r>
              <w:rPr>
                <w:b w:val="false"/>
                <w:bCs w:val="false"/>
                <w:color w:val="1A1A2E"/>
                <w:sz w:val="19"/>
                <w:szCs w:val="19"/>
              </w:rPr>
              <w:t xml:space="preserve">High — payments cannot route</w:t>
            </w:r>
          </w:p>
        </w:tc>
        <w:tc>
          <w:tcPr>
            <w:tcW w:type="dxa" w:w="3760"/>
            <w:shd w:fill="FFFFFF" w:val="clear"/>
            <w:tcMar>
              <w:top w:type="dxa" w:w="80"/>
              <w:left w:type="dxa" w:w="100"/>
              <w:bottom w:type="dxa" w:w="80"/>
              <w:right w:type="dxa" w:w="100"/>
            </w:tcMar>
            <w:vAlign w:val="center"/>
          </w:tcPr>
          <w:p>
            <w:r>
              <w:rPr>
                <w:b w:val="false"/>
                <w:bCs w:val="false"/>
                <w:color w:val="1A1A2E"/>
                <w:sz w:val="19"/>
                <w:szCs w:val="19"/>
              </w:rPr>
              <w:t xml:space="preserve">Integrate multiple routing providers with automatic fallback.</w:t>
            </w:r>
          </w:p>
        </w:tc>
      </w:tr>
      <w:tr>
        <w:tc>
          <w:tcPr>
            <w:tcW w:type="dxa" w:w="2800"/>
            <w:shd w:fill="F2F2F2" w:val="clear"/>
            <w:tcMar>
              <w:top w:type="dxa" w:w="80"/>
              <w:left w:type="dxa" w:w="100"/>
              <w:bottom w:type="dxa" w:w="80"/>
              <w:right w:type="dxa" w:w="100"/>
            </w:tcMar>
            <w:vAlign w:val="center"/>
          </w:tcPr>
          <w:p>
            <w:r>
              <w:rPr>
                <w:b w:val="false"/>
                <w:bCs w:val="false"/>
                <w:color w:val="1A1A2E"/>
                <w:sz w:val="19"/>
                <w:szCs w:val="19"/>
              </w:rPr>
              <w:t xml:space="preserve">Smart contract exploit in deposit or treasury contracts</w:t>
            </w:r>
          </w:p>
        </w:tc>
        <w:tc>
          <w:tcPr>
            <w:tcW w:type="dxa" w:w="2800"/>
            <w:shd w:fill="F2F2F2" w:val="clear"/>
            <w:tcMar>
              <w:top w:type="dxa" w:w="80"/>
              <w:left w:type="dxa" w:w="100"/>
              <w:bottom w:type="dxa" w:w="80"/>
              <w:right w:type="dxa" w:w="100"/>
            </w:tcMar>
            <w:vAlign w:val="center"/>
          </w:tcPr>
          <w:p>
            <w:r>
              <w:rPr>
                <w:b w:val="false"/>
                <w:bCs w:val="false"/>
                <w:color w:val="1A1A2E"/>
                <w:sz w:val="19"/>
                <w:szCs w:val="19"/>
              </w:rPr>
              <w:t xml:space="preserve">Critical — loss of funds</w:t>
            </w:r>
          </w:p>
        </w:tc>
        <w:tc>
          <w:tcPr>
            <w:tcW w:type="dxa" w:w="3760"/>
            <w:shd w:fill="F2F2F2" w:val="clear"/>
            <w:tcMar>
              <w:top w:type="dxa" w:w="80"/>
              <w:left w:type="dxa" w:w="100"/>
              <w:bottom w:type="dxa" w:w="80"/>
              <w:right w:type="dxa" w:w="100"/>
            </w:tcMar>
            <w:vAlign w:val="center"/>
          </w:tcPr>
          <w:p>
            <w:r>
              <w:rPr>
                <w:b w:val="false"/>
                <w:bCs w:val="false"/>
                <w:color w:val="1A1A2E"/>
                <w:sz w:val="19"/>
                <w:szCs w:val="19"/>
              </w:rPr>
              <w:t xml:space="preserve">Independent audits, bug bounty program, phased capital exposure limits.</w:t>
            </w:r>
          </w:p>
        </w:tc>
      </w:tr>
      <w:tr>
        <w:tc>
          <w:tcPr>
            <w:tcW w:type="dxa" w:w="2800"/>
            <w:shd w:fill="FFFFFF" w:val="clear"/>
            <w:tcMar>
              <w:top w:type="dxa" w:w="80"/>
              <w:left w:type="dxa" w:w="100"/>
              <w:bottom w:type="dxa" w:w="80"/>
              <w:right w:type="dxa" w:w="100"/>
            </w:tcMar>
            <w:vAlign w:val="center"/>
          </w:tcPr>
          <w:p>
            <w:r>
              <w:rPr>
                <w:b w:val="false"/>
                <w:bCs w:val="false"/>
                <w:color w:val="1A1A2E"/>
                <w:sz w:val="19"/>
                <w:szCs w:val="19"/>
              </w:rPr>
              <w:t xml:space="preserve">Regulatory/licensing delay in a target market</w:t>
            </w:r>
          </w:p>
        </w:tc>
        <w:tc>
          <w:tcPr>
            <w:tcW w:type="dxa" w:w="2800"/>
            <w:shd w:fill="FFFFFF" w:val="clear"/>
            <w:tcMar>
              <w:top w:type="dxa" w:w="80"/>
              <w:left w:type="dxa" w:w="100"/>
              <w:bottom w:type="dxa" w:w="80"/>
              <w:right w:type="dxa" w:w="100"/>
            </w:tcMar>
            <w:vAlign w:val="center"/>
          </w:tcPr>
          <w:p>
            <w:r>
              <w:rPr>
                <w:b w:val="false"/>
                <w:bCs w:val="false"/>
                <w:color w:val="1A1A2E"/>
                <w:sz w:val="19"/>
                <w:szCs w:val="19"/>
              </w:rPr>
              <w:t xml:space="preserve">High — delays launch in that market</w:t>
            </w:r>
          </w:p>
        </w:tc>
        <w:tc>
          <w:tcPr>
            <w:tcW w:type="dxa" w:w="3760"/>
            <w:shd w:fill="FFFFFF" w:val="clear"/>
            <w:tcMar>
              <w:top w:type="dxa" w:w="80"/>
              <w:left w:type="dxa" w:w="100"/>
              <w:bottom w:type="dxa" w:w="80"/>
              <w:right w:type="dxa" w:w="100"/>
            </w:tcMar>
            <w:vAlign w:val="center"/>
          </w:tcPr>
          <w:p>
            <w:r>
              <w:rPr>
                <w:b w:val="false"/>
                <w:bCs w:val="false"/>
                <w:color w:val="1A1A2E"/>
                <w:sz w:val="19"/>
                <w:szCs w:val="19"/>
              </w:rPr>
              <w:t xml:space="preserve">Build compliance layer early; engage legal counsel per target jurisdiction before launch.</w:t>
            </w:r>
          </w:p>
        </w:tc>
      </w:tr>
      <w:tr>
        <w:tc>
          <w:tcPr>
            <w:tcW w:type="dxa" w:w="2800"/>
            <w:shd w:fill="F2F2F2" w:val="clear"/>
            <w:tcMar>
              <w:top w:type="dxa" w:w="80"/>
              <w:left w:type="dxa" w:w="100"/>
              <w:bottom w:type="dxa" w:w="80"/>
              <w:right w:type="dxa" w:w="100"/>
            </w:tcMar>
            <w:vAlign w:val="center"/>
          </w:tcPr>
          <w:p>
            <w:r>
              <w:rPr>
                <w:b w:val="false"/>
                <w:bCs w:val="false"/>
                <w:color w:val="1A1A2E"/>
                <w:sz w:val="19"/>
                <w:szCs w:val="19"/>
              </w:rPr>
              <w:t xml:space="preserve">Treasury slippage exceeds buffer during high volatility</w:t>
            </w:r>
          </w:p>
        </w:tc>
        <w:tc>
          <w:tcPr>
            <w:tcW w:type="dxa" w:w="2800"/>
            <w:shd w:fill="F2F2F2" w:val="clear"/>
            <w:tcMar>
              <w:top w:type="dxa" w:w="80"/>
              <w:left w:type="dxa" w:w="100"/>
              <w:bottom w:type="dxa" w:w="80"/>
              <w:right w:type="dxa" w:w="100"/>
            </w:tcMar>
            <w:vAlign w:val="center"/>
          </w:tcPr>
          <w:p>
            <w:r>
              <w:rPr>
                <w:b w:val="false"/>
                <w:bCs w:val="false"/>
                <w:color w:val="1A1A2E"/>
                <w:sz w:val="19"/>
                <w:szCs w:val="19"/>
              </w:rPr>
              <w:t xml:space="preserve">Medium — margin compression</w:t>
            </w:r>
          </w:p>
        </w:tc>
        <w:tc>
          <w:tcPr>
            <w:tcW w:type="dxa" w:w="3760"/>
            <w:shd w:fill="F2F2F2" w:val="clear"/>
            <w:tcMar>
              <w:top w:type="dxa" w:w="80"/>
              <w:left w:type="dxa" w:w="100"/>
              <w:bottom w:type="dxa" w:w="80"/>
              <w:right w:type="dxa" w:w="100"/>
            </w:tcMar>
            <w:vAlign w:val="center"/>
          </w:tcPr>
          <w:p>
            <w:r>
              <w:rPr>
                <w:b w:val="false"/>
                <w:bCs w:val="false"/>
                <w:color w:val="1A1A2E"/>
                <w:sz w:val="19"/>
                <w:szCs w:val="19"/>
              </w:rPr>
              <w:t xml:space="preserve">Configurable circuit breakers that pause new quotes during extreme volatility.</w:t>
            </w:r>
          </w:p>
        </w:tc>
      </w:tr>
      <w:tr>
        <w:tc>
          <w:tcPr>
            <w:tcW w:type="dxa" w:w="2800"/>
            <w:shd w:fill="FFFFFF" w:val="clear"/>
            <w:tcMar>
              <w:top w:type="dxa" w:w="80"/>
              <w:left w:type="dxa" w:w="100"/>
              <w:bottom w:type="dxa" w:w="80"/>
              <w:right w:type="dxa" w:w="100"/>
            </w:tcMar>
            <w:vAlign w:val="center"/>
          </w:tcPr>
          <w:p>
            <w:r>
              <w:rPr>
                <w:b w:val="false"/>
                <w:bCs w:val="false"/>
                <w:color w:val="1A1A2E"/>
                <w:sz w:val="19"/>
                <w:szCs w:val="19"/>
              </w:rPr>
              <w:t xml:space="preserve">Customer sends to the wrong chain/asset</w:t>
            </w:r>
          </w:p>
        </w:tc>
        <w:tc>
          <w:tcPr>
            <w:tcW w:type="dxa" w:w="2800"/>
            <w:shd w:fill="FFFFFF" w:val="clear"/>
            <w:tcMar>
              <w:top w:type="dxa" w:w="80"/>
              <w:left w:type="dxa" w:w="100"/>
              <w:bottom w:type="dxa" w:w="80"/>
              <w:right w:type="dxa" w:w="100"/>
            </w:tcMar>
            <w:vAlign w:val="center"/>
          </w:tcPr>
          <w:p>
            <w:r>
              <w:rPr>
                <w:b w:val="false"/>
                <w:bCs w:val="false"/>
                <w:color w:val="1A1A2E"/>
                <w:sz w:val="19"/>
                <w:szCs w:val="19"/>
              </w:rPr>
              <w:t xml:space="preserve">Medium — support burden, customer trust</w:t>
            </w:r>
          </w:p>
        </w:tc>
        <w:tc>
          <w:tcPr>
            <w:tcW w:type="dxa" w:w="3760"/>
            <w:shd w:fill="FFFFFF" w:val="clear"/>
            <w:tcMar>
              <w:top w:type="dxa" w:w="80"/>
              <w:left w:type="dxa" w:w="100"/>
              <w:bottom w:type="dxa" w:w="80"/>
              <w:right w:type="dxa" w:w="100"/>
            </w:tcMar>
            <w:vAlign w:val="center"/>
          </w:tcPr>
          <w:p>
            <w:r>
              <w:rPr>
                <w:b w:val="false"/>
                <w:bCs w:val="false"/>
                <w:color w:val="1A1A2E"/>
                <w:sz w:val="19"/>
                <w:szCs w:val="19"/>
              </w:rPr>
              <w:t xml:space="preserve">Recovery Service automation; clear UX warnings at checkout.</w:t>
            </w:r>
          </w:p>
        </w:tc>
      </w:tr>
      <w:tr>
        <w:tc>
          <w:tcPr>
            <w:tcW w:type="dxa" w:w="2800"/>
            <w:shd w:fill="F2F2F2" w:val="clear"/>
            <w:tcMar>
              <w:top w:type="dxa" w:w="80"/>
              <w:left w:type="dxa" w:w="100"/>
              <w:bottom w:type="dxa" w:w="80"/>
              <w:right w:type="dxa" w:w="100"/>
            </w:tcMar>
            <w:vAlign w:val="center"/>
          </w:tcPr>
          <w:p>
            <w:r>
              <w:rPr>
                <w:b w:val="false"/>
                <w:bCs w:val="false"/>
                <w:color w:val="1A1A2E"/>
                <w:sz w:val="19"/>
                <w:szCs w:val="19"/>
              </w:rPr>
              <w:t xml:space="preserve">RPC/indexer provider outage</w:t>
            </w:r>
          </w:p>
        </w:tc>
        <w:tc>
          <w:tcPr>
            <w:tcW w:type="dxa" w:w="2800"/>
            <w:shd w:fill="F2F2F2" w:val="clear"/>
            <w:tcMar>
              <w:top w:type="dxa" w:w="80"/>
              <w:left w:type="dxa" w:w="100"/>
              <w:bottom w:type="dxa" w:w="80"/>
              <w:right w:type="dxa" w:w="100"/>
            </w:tcMar>
            <w:vAlign w:val="center"/>
          </w:tcPr>
          <w:p>
            <w:r>
              <w:rPr>
                <w:b w:val="false"/>
                <w:bCs w:val="false"/>
                <w:color w:val="1A1A2E"/>
                <w:sz w:val="19"/>
                <w:szCs w:val="19"/>
              </w:rPr>
              <w:t xml:space="preserve">Medium — delayed detection</w:t>
            </w:r>
          </w:p>
        </w:tc>
        <w:tc>
          <w:tcPr>
            <w:tcW w:type="dxa" w:w="3760"/>
            <w:shd w:fill="F2F2F2" w:val="clear"/>
            <w:tcMar>
              <w:top w:type="dxa" w:w="80"/>
              <w:left w:type="dxa" w:w="100"/>
              <w:bottom w:type="dxa" w:w="80"/>
              <w:right w:type="dxa" w:w="100"/>
            </w:tcMar>
            <w:vAlign w:val="center"/>
          </w:tcPr>
          <w:p>
            <w:r>
              <w:rPr>
                <w:b w:val="false"/>
                <w:bCs w:val="false"/>
                <w:color w:val="1A1A2E"/>
                <w:sz w:val="19"/>
                <w:szCs w:val="19"/>
              </w:rPr>
              <w:t xml:space="preserve">Redundant providers per chain with automatic failover.</w:t>
            </w:r>
          </w:p>
        </w:tc>
      </w:tr>
    </w:tbl>
    <w:p>
      <w:pPr>
        <w:pStyle w:val="Heading1"/>
        <w:spacing w:after="160" w:before="360"/>
      </w:pPr>
      <w:r>
        <w:rPr>
          <w:b/>
          <w:bCs/>
          <w:color w:val="1A1A2E"/>
          <w:sz w:val="30"/>
          <w:szCs w:val="30"/>
        </w:rPr>
        <w:t xml:space="preserve">14. Release Plan</w:t>
      </w:r>
    </w:p>
    <w:p>
      <w:pPr>
        <w:pStyle w:val="Heading2"/>
        <w:spacing w:after="120" w:before="260"/>
      </w:pPr>
      <w:r>
        <w:rPr>
          <w:b/>
          <w:bCs/>
          <w:color w:val="1A1A2E"/>
          <w:sz w:val="24"/>
          <w:szCs w:val="24"/>
        </w:rPr>
        <w:t xml:space="preserve">Phase 1 — MVP</w:t>
      </w:r>
    </w:p>
    <w:p>
      <w:pPr>
        <w:pStyle w:val="ListParagraph"/>
        <w:numPr>
          <w:ilvl w:val="0"/>
          <w:numId w:val="2"/>
        </w:numPr>
        <w:spacing w:after="80"/>
      </w:pPr>
      <w:r>
        <w:rPr>
          <w:sz w:val="21"/>
          <w:szCs w:val="21"/>
        </w:rPr>
        <w:t xml:space="preserve">Single merchant settlement asset (USDC or USDT); 4–6 supported chains.</w:t>
      </w:r>
    </w:p>
    <w:p>
      <w:pPr>
        <w:pStyle w:val="ListParagraph"/>
        <w:numPr>
          <w:ilvl w:val="0"/>
          <w:numId w:val="2"/>
        </w:numPr>
        <w:spacing w:after="80"/>
      </w:pPr>
      <w:r>
        <w:rPr>
          <w:sz w:val="21"/>
          <w:szCs w:val="21"/>
        </w:rPr>
        <w:t xml:space="preserve">Rate lock, treasury buffer, and sanctions screening live.</w:t>
      </w:r>
    </w:p>
    <w:p>
      <w:pPr>
        <w:pStyle w:val="ListParagraph"/>
        <w:numPr>
          <w:ilvl w:val="0"/>
          <w:numId w:val="2"/>
        </w:numPr>
        <w:spacing w:after="80"/>
      </w:pPr>
      <w:r>
        <w:rPr>
          <w:sz w:val="21"/>
          <w:szCs w:val="21"/>
        </w:rPr>
        <w:t xml:space="preserve">Gas abstraction on AA-capable EVM chains; relayer fallback on Tron/Solana.</w:t>
      </w:r>
    </w:p>
    <w:p>
      <w:pPr>
        <w:pStyle w:val="ListParagraph"/>
        <w:numPr>
          <w:ilvl w:val="0"/>
          <w:numId w:val="2"/>
        </w:numPr>
        <w:spacing w:after="80"/>
      </w:pPr>
      <w:r>
        <w:rPr>
          <w:sz w:val="21"/>
          <w:szCs w:val="21"/>
        </w:rPr>
        <w:t xml:space="preserve">Basic reconciliation ledger and webhook feed; merchant dashboard v1.</w:t>
      </w:r>
    </w:p>
    <w:p>
      <w:pPr>
        <w:pStyle w:val="Heading2"/>
        <w:spacing w:after="120" w:before="260"/>
      </w:pPr>
      <w:r>
        <w:rPr>
          <w:b/>
          <w:bCs/>
          <w:color w:val="1A1A2E"/>
          <w:sz w:val="24"/>
          <w:szCs w:val="24"/>
        </w:rPr>
        <w:t xml:space="preserve">Phase 2</w:t>
      </w:r>
    </w:p>
    <w:p>
      <w:pPr>
        <w:pStyle w:val="ListParagraph"/>
        <w:numPr>
          <w:ilvl w:val="0"/>
          <w:numId w:val="2"/>
        </w:numPr>
        <w:spacing w:after="80"/>
      </w:pPr>
      <w:r>
        <w:rPr>
          <w:sz w:val="21"/>
          <w:szCs w:val="21"/>
        </w:rPr>
        <w:t xml:space="preserve">Full recovery service (misdirected-payment detection, acceleration for stuck transactions).</w:t>
      </w:r>
    </w:p>
    <w:p>
      <w:pPr>
        <w:pStyle w:val="ListParagraph"/>
        <w:numPr>
          <w:ilvl w:val="0"/>
          <w:numId w:val="2"/>
        </w:numPr>
        <w:spacing w:after="80"/>
      </w:pPr>
      <w:r>
        <w:rPr>
          <w:sz w:val="21"/>
          <w:szCs w:val="21"/>
        </w:rPr>
        <w:t xml:space="preserve">Accounting connectors (QuickBooks, Xero, NetSuite); expanded chain/asset support.</w:t>
      </w:r>
    </w:p>
    <w:p>
      <w:pPr>
        <w:pStyle w:val="ListParagraph"/>
        <w:numPr>
          <w:ilvl w:val="0"/>
          <w:numId w:val="2"/>
        </w:numPr>
        <w:spacing w:after="80"/>
      </w:pPr>
      <w:r>
        <w:rPr>
          <w:sz w:val="21"/>
          <w:szCs w:val="21"/>
        </w:rPr>
        <w:t xml:space="preserve">Configurable KYC triggers by jurisdiction.</w:t>
      </w:r>
    </w:p>
    <w:p>
      <w:pPr>
        <w:pStyle w:val="Heading2"/>
        <w:spacing w:after="120" w:before="260"/>
      </w:pPr>
      <w:r>
        <w:rPr>
          <w:b/>
          <w:bCs/>
          <w:color w:val="1A1A2E"/>
          <w:sz w:val="24"/>
          <w:szCs w:val="24"/>
        </w:rPr>
        <w:t xml:space="preserve">Phase 3</w:t>
      </w:r>
    </w:p>
    <w:p>
      <w:pPr>
        <w:pStyle w:val="ListParagraph"/>
        <w:numPr>
          <w:ilvl w:val="0"/>
          <w:numId w:val="2"/>
        </w:numPr>
        <w:spacing w:after="80"/>
      </w:pPr>
      <w:r>
        <w:rPr>
          <w:sz w:val="21"/>
          <w:szCs w:val="21"/>
        </w:rPr>
        <w:t xml:space="preserve">Fiat off-ramp settlement in licensed jurisdictions.</w:t>
      </w:r>
    </w:p>
    <w:p>
      <w:pPr>
        <w:pStyle w:val="ListParagraph"/>
        <w:numPr>
          <w:ilvl w:val="0"/>
          <w:numId w:val="2"/>
        </w:numPr>
        <w:spacing w:after="80"/>
      </w:pPr>
      <w:r>
        <w:rPr>
          <w:sz w:val="21"/>
          <w:szCs w:val="21"/>
        </w:rPr>
        <w:t xml:space="preserve">Travel Rule / VASP-to-VASP data exchange.</w:t>
      </w:r>
    </w:p>
    <w:p>
      <w:pPr>
        <w:pStyle w:val="ListParagraph"/>
        <w:numPr>
          <w:ilvl w:val="0"/>
          <w:numId w:val="2"/>
        </w:numPr>
        <w:spacing w:after="80"/>
      </w:pPr>
      <w:r>
        <w:rPr>
          <w:sz w:val="21"/>
          <w:szCs w:val="21"/>
        </w:rPr>
        <w:t xml:space="preserve">Self-service chain/asset onboarding framework for rapid expansion.</w:t>
      </w:r>
    </w:p>
    <w:p>
      <w:pPr>
        <w:pStyle w:val="Heading1"/>
        <w:spacing w:after="160" w:before="360"/>
      </w:pPr>
      <w:r>
        <w:rPr>
          <w:b/>
          <w:bCs/>
          <w:color w:val="1A1A2E"/>
          <w:sz w:val="30"/>
          <w:szCs w:val="30"/>
        </w:rPr>
        <w:t xml:space="preserve">15. Appendix — Glossary</w:t>
      </w:r>
    </w:p>
    <w:p>
      <w:pPr>
        <w:pStyle w:val="ListParagraph"/>
        <w:numPr>
          <w:ilvl w:val="0"/>
          <w:numId w:val="2"/>
        </w:numPr>
        <w:spacing w:after="80"/>
      </w:pPr>
      <w:r>
        <w:rPr>
          <w:sz w:val="21"/>
          <w:szCs w:val="21"/>
        </w:rPr>
        <w:t xml:space="preserve">Payment Intent — the system's record of a single payment attempt, from quote through settlement.</w:t>
      </w:r>
    </w:p>
    <w:p>
      <w:pPr>
        <w:pStyle w:val="ListParagraph"/>
        <w:numPr>
          <w:ilvl w:val="0"/>
          <w:numId w:val="2"/>
        </w:numPr>
        <w:spacing w:after="80"/>
      </w:pPr>
      <w:r>
        <w:rPr>
          <w:sz w:val="21"/>
          <w:szCs w:val="21"/>
        </w:rPr>
        <w:t xml:space="preserve">Rate Lock — a fixed exchange rate guaranteed to the merchant for a limited time window (TTL).</w:t>
      </w:r>
    </w:p>
    <w:p>
      <w:pPr>
        <w:pStyle w:val="ListParagraph"/>
        <w:numPr>
          <w:ilvl w:val="0"/>
          <w:numId w:val="2"/>
        </w:numPr>
        <w:spacing w:after="80"/>
      </w:pPr>
      <w:r>
        <w:rPr>
          <w:sz w:val="21"/>
          <w:szCs w:val="21"/>
        </w:rPr>
        <w:t xml:space="preserve">Gas Abstraction — removing the requirement for a customer to hold a chain's native token to pay transaction fees.</w:t>
      </w:r>
    </w:p>
    <w:p>
      <w:pPr>
        <w:pStyle w:val="ListParagraph"/>
        <w:numPr>
          <w:ilvl w:val="0"/>
          <w:numId w:val="2"/>
        </w:numPr>
        <w:spacing w:after="80"/>
      </w:pPr>
      <w:r>
        <w:rPr>
          <w:sz w:val="21"/>
          <w:szCs w:val="21"/>
        </w:rPr>
        <w:t xml:space="preserve">ERC-4337 — the Ethereum account abstraction standard enabling paymaster-sponsored transactions.</w:t>
      </w:r>
    </w:p>
    <w:p>
      <w:pPr>
        <w:pStyle w:val="ListParagraph"/>
        <w:numPr>
          <w:ilvl w:val="0"/>
          <w:numId w:val="2"/>
        </w:numPr>
        <w:spacing w:after="80"/>
      </w:pPr>
      <w:r>
        <w:rPr>
          <w:sz w:val="21"/>
          <w:szCs w:val="21"/>
        </w:rPr>
        <w:t xml:space="preserve">Bridge/DEX Aggregator — third-party infrastructure (e.g., LI.FI, Socket, Across) that finds optimal cross-chain/asset swap paths.</w:t>
      </w:r>
    </w:p>
    <w:p>
      <w:pPr>
        <w:pStyle w:val="ListParagraph"/>
        <w:numPr>
          <w:ilvl w:val="0"/>
          <w:numId w:val="2"/>
        </w:numPr>
        <w:spacing w:after="80"/>
      </w:pPr>
      <w:r>
        <w:rPr>
          <w:sz w:val="21"/>
          <w:szCs w:val="21"/>
        </w:rPr>
        <w:t xml:space="preserve">Settlement Asset — the asset and chain a merchant has configured to receive payment in.</w:t>
      </w:r>
    </w:p>
    <w:p>
      <w:pPr>
        <w:pStyle w:val="ListParagraph"/>
        <w:numPr>
          <w:ilvl w:val="0"/>
          <w:numId w:val="2"/>
        </w:numPr>
        <w:spacing w:after="80"/>
      </w:pPr>
      <w:r>
        <w:rPr>
          <w:sz w:val="21"/>
          <w:szCs w:val="21"/>
        </w:rPr>
        <w:t xml:space="preserve">VASP — Virtual Asset Service Provider, a regulatory classification relevant to Travel Rule compliance.</w:t>
      </w:r>
    </w:p>
    <w:p>
      <w:pPr>
        <w:pStyle w:val="ListParagraph"/>
        <w:numPr>
          <w:ilvl w:val="0"/>
          <w:numId w:val="2"/>
        </w:numPr>
        <w:spacing w:after="80"/>
      </w:pPr>
      <w:r>
        <w:rPr>
          <w:sz w:val="21"/>
          <w:szCs w:val="21"/>
        </w:rPr>
        <w:t xml:space="preserve">Travel Rule — a regulatory requirement to exchange originator/beneficiary information between VASPs above certain transaction thresholds.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Multi-Chain Crypto Payment Gateway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2026-08-07T18:41:29.349Z</dcterms:created>
  <dcterms:modified xsi:type="dcterms:W3CDTF">2026-08-07T18:41:29.349Z</dcterms:modified>
</cp:coreProperties>
</file>

<file path=docProps/custom.xml><?xml version="1.0" encoding="utf-8"?>
<Properties xmlns="http://schemas.openxmlformats.org/officeDocument/2006/custom-properties" xmlns:vt="http://schemas.openxmlformats.org/officeDocument/2006/docPropsVTypes"/>
</file>