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color w:val="0B3D5C"/>
          <w:sz w:val="58"/>
          <w:szCs w:val="58"/>
        </w:rPr>
        <w:t xml:space="preserve">SENTINELCNAPP</w:t>
      </w:r>
    </w:p>
    <w:p>
      <w:pPr>
        <w:spacing w:after="200"/>
        <w:jc w:val="center"/>
      </w:pPr>
      <w:r>
        <w:rPr>
          <w:color w:val="5F5E5A"/>
          <w:sz w:val="25"/>
          <w:szCs w:val="25"/>
        </w:rPr>
        <w:t xml:space="preserve">An Open-Source, Unified Cloud-Native Application Protection Platform</w:t>
      </w:r>
    </w:p>
    <w:p>
      <w:pPr>
        <w:spacing w:after="600"/>
        <w:jc w:val="center"/>
      </w:pPr>
      <w:r>
        <w:rPr>
          <w:i/>
          <w:iCs/>
          <w:color w:val="5F5E5A"/>
          <w:sz w:val="19"/>
          <w:szCs w:val="19"/>
        </w:rPr>
        <w:t xml:space="preserve">Correlating best-in-class open-source security tools under one graph, one risk score, and one dashboard</w:t>
      </w:r>
    </w:p>
    <w:p>
      <w:pPr>
        <w:pBdr>
          <w:top w:val="single" w:color="B4B2A9" w:sz="6"/>
        </w:pBdr>
        <w:spacing w:after="3000"/>
        <w:jc w:val="center"/>
      </w:pPr>
    </w:p>
    <w:p>
      <w:pPr>
        <w:spacing w:after="100"/>
        <w:jc w:val="center"/>
      </w:pPr>
      <w:r>
        <w:rPr>
          <w:b/>
          <w:bCs/>
          <w:sz w:val="24"/>
          <w:szCs w:val="24"/>
        </w:rPr>
        <w:t xml:space="preserve">Problem Statement &amp; Solution Architecture</w:t>
      </w:r>
    </w:p>
    <w:p>
      <w:pPr>
        <w:spacing w:after="800"/>
        <w:jc w:val="center"/>
      </w:pPr>
      <w:r>
        <w:rPr>
          <w:color w:val="5F5E5A"/>
          <w:sz w:val="20"/>
          <w:szCs w:val="20"/>
        </w:rPr>
        <w:t xml:space="preserve">Version 1.0  –  July 2026</w:t>
      </w:r>
    </w:p>
    <w:p>
      <w:pPr>
        <w:jc w:val="center"/>
      </w:pPr>
      <w:r>
        <w:rPr>
          <w:i/>
          <w:iCs/>
          <w:color w:val="5F5E5A"/>
          <w:sz w:val="18"/>
          <w:szCs w:val="18"/>
        </w:rPr>
        <w:t xml:space="preserve">Prepared for technical and executive review  |  Open-source project proposal</w:t>
      </w:r>
    </w:p>
    <w:p>
      <w:pPr>
        <w:sectPr>
          <w:pgSz w:w="12240" w:h="15840" w:orient="portrait"/>
          <w:pgMar w:top="1440" w:right="1440" w:bottom="1440" w:left="1440" w:header="708" w:footer="708" w:gutter="0"/>
          <w:pgNumType/>
          <w:docGrid w:linePitch="360"/>
        </w:sectPr>
      </w:pPr>
    </w:p>
    <w:p>
      <w:pPr>
        <w:pStyle w:val="Heading1"/>
        <w:spacing w:after="200" w:before="40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ectPr>
          <w:pgSz w:w="11906" w:h="16838" w:orient="portrait"/>
          <w:pgMar w:top="1440" w:right="1440" w:bottom="1440" w:left="1440" w:header="708" w:footer="708" w:gutter="0"/>
          <w:pgNumType/>
          <w:docGrid w:linePitch="360"/>
        </w:sectPr>
      </w:pPr>
    </w:p>
    <w:p>
      <w:pPr>
        <w:pStyle w:val="Heading1"/>
        <w:spacing w:after="200" w:before="400"/>
      </w:pPr>
      <w:r>
        <w:t xml:space="preserve">1. Executive Summary</w:t>
      </w:r>
    </w:p>
    <w:p>
      <w:pPr>
        <w:spacing w:after="160" w:line="300"/>
      </w:pPr>
      <w:r>
        <w:rPr>
          <w:b w:val="false"/>
          <w:bCs w:val="false"/>
          <w:i w:val="false"/>
          <w:iCs w:val="false"/>
          <w:sz w:val="22"/>
          <w:szCs w:val="22"/>
        </w:rPr>
        <w:t xml:space="preserve">SentinelCNAPP is a proposed open-source Cloud-Native Application Protection Platform (CNAPP) that unifies cloud asset discovery, infrastructure-as-code scanning, Kubernetes and container security, identity and secrets analysis, posture management, and attack-path reasoning under a single correlated graph and dashboard. Rather than building each scanning capability from scratch, SentinelCNAPP's core strategy is integration: mature, widely trusted open-source engines — Trivy, Checkov, Gitleaks, and Falco — supply the underlying detection, while SentinelCNAPP's own contribution is the correlation layer, the unified risk model, and the graph that connects their findings to one another.</w:t>
      </w:r>
    </w:p>
    <w:p>
      <w:pPr>
        <w:spacing w:after="160" w:line="300"/>
      </w:pPr>
      <w:r>
        <w:rPr>
          <w:b w:val="false"/>
          <w:bCs w:val="false"/>
          <w:i w:val="false"/>
          <w:iCs w:val="false"/>
          <w:sz w:val="22"/>
          <w:szCs w:val="22"/>
        </w:rPr>
        <w:t xml:space="preserve">This document presents the industry problem this addresses, an analysis of current solutions and their limitations, the proposed architecture, and a realistic, phased path to a working v1 — narrowed from the original six-phase, fifteen-module blueprint to a defensible minimum viable scope, with the remaining modules sequenced as clearly-labeled future phases rather than assumed complete.</w:t>
      </w:r>
    </w:p>
    <w:p>
      <w:pPr>
        <w:pStyle w:val="Heading1"/>
        <w:spacing w:after="200" w:before="400"/>
      </w:pPr>
      <w:r>
        <w:t xml:space="preserve">2. Industry Problem Statement</w:t>
      </w:r>
    </w:p>
    <w:p>
      <w:pPr>
        <w:spacing w:after="120" w:line="300"/>
      </w:pPr>
      <w:r>
        <w:rPr>
          <w:b w:val="false"/>
          <w:bCs w:val="false"/>
          <w:i w:val="false"/>
          <w:iCs w:val="false"/>
          <w:sz w:val="22"/>
          <w:szCs w:val="22"/>
        </w:rPr>
        <w:t xml:space="preserve">Cloud security in 2026 is not primarily a detection problem — it is a correlation, staffing, and accessibility problem. Four findings from recent industry research define the shape of the gap precisely:</w:t>
      </w:r>
    </w:p>
    <w:p>
      <w:pPr>
        <w:pStyle w:val="Heading2"/>
        <w:spacing w:after="150" w:before="300"/>
      </w:pPr>
      <w:r>
        <w:t xml:space="preserve">2.1 Tool fragmentation is the leading cited obstacle</w:t>
      </w:r>
    </w:p>
    <w:p>
      <w:pPr>
        <w:spacing w:after="160" w:line="300"/>
      </w:pPr>
      <w:r>
        <w:rPr>
          <w:b w:val="false"/>
          <w:bCs w:val="false"/>
          <w:i w:val="false"/>
          <w:iCs w:val="false"/>
          <w:sz w:val="22"/>
          <w:szCs w:val="22"/>
        </w:rPr>
        <w:t xml:space="preserve">In a survey of 1,163 security professionals, 69% cited fragmented defenses — tools that grow alongside the cloud without shared telemetry — as the top brake on effective cloud security. Security, identity, and posture data typically live in separate tools, and correlating them into an actionable picture is done manually, after the fact.</w:t>
      </w:r>
    </w:p>
    <w:p>
      <w:pPr>
        <w:pStyle w:val="Heading2"/>
        <w:spacing w:after="150" w:before="300"/>
      </w:pPr>
      <w:r>
        <w:t xml:space="preserve">2.2 The skills gap is as large as the tooling gap</w:t>
      </w:r>
    </w:p>
    <w:p>
      <w:pPr>
        <w:spacing w:after="160" w:line="300"/>
      </w:pPr>
      <w:r>
        <w:rPr>
          <w:b w:val="false"/>
          <w:bCs w:val="false"/>
          <w:i w:val="false"/>
          <w:iCs w:val="false"/>
          <w:sz w:val="22"/>
          <w:szCs w:val="22"/>
        </w:rPr>
        <w:t xml:space="preserve">74% of organizations report an active shortage of qualified security professionals, and 77% express high concern about the industry-wide skills gap. Cloud security roles require simultaneous expertise across infrastructure, identity, data, and application layers — a combination that is difficult to hire for even with adequate budget.</w:t>
      </w:r>
    </w:p>
    <w:p>
      <w:pPr>
        <w:pStyle w:val="Heading2"/>
        <w:spacing w:after="150" w:before="300"/>
      </w:pPr>
      <w:r>
        <w:t xml:space="preserve">2.3 Having security tools is not the same as being secure</w:t>
      </w:r>
    </w:p>
    <w:p>
      <w:pPr>
        <w:spacing w:after="160" w:line="300"/>
      </w:pPr>
      <w:r>
        <w:rPr>
          <w:b w:val="false"/>
          <w:bCs w:val="false"/>
          <w:i w:val="false"/>
          <w:iCs w:val="false"/>
          <w:sz w:val="22"/>
          <w:szCs w:val="22"/>
        </w:rPr>
        <w:t xml:space="preserve">Approximately one in three small and midsize businesses experienced a cybersecurity incident in the past year, and the determining factor was rarely the absence of tools — most already had something in place. The gap is between owning a tool and having the expertise and time to configure, interpret, and act on what it reports.</w:t>
      </w:r>
    </w:p>
    <w:p>
      <w:pPr>
        <w:pStyle w:val="Heading2"/>
        <w:spacing w:after="150" w:before="300"/>
      </w:pPr>
      <w:r>
        <w:t xml:space="preserve">2.4 Misconfiguration, identity, and data exposure dominate the actual exposure chain</w:t>
      </w:r>
    </w:p>
    <w:p>
      <w:pPr>
        <w:spacing w:after="200" w:line="300"/>
      </w:pPr>
      <w:r>
        <w:rPr>
          <w:b w:val="false"/>
          <w:bCs w:val="false"/>
          <w:i w:val="false"/>
          <w:iCs w:val="false"/>
          <w:sz w:val="22"/>
          <w:szCs w:val="22"/>
        </w:rPr>
        <w:t xml:space="preserve">Identity and access issues are the leading concern at 77%, followed by misconfigured cloud services at 70% and data exposure at 66%. The common failure pattern is a chain: a misconfiguration opens a resource, an over-privileged identity takes the next step, and sensitive data becomes the target — a chain that is only visible if posture, identity, and data findings are examined together rather than in the separate tools that typically produce them.</w:t>
      </w:r>
    </w:p>
    <w:p>
      <w:pPr>
        <w:pStyle w:val="Heading1"/>
        <w:spacing w:after="200" w:before="400"/>
      </w:pPr>
      <w:r>
        <w:t xml:space="preserve">3. Current Solutions and Their Limitations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20"/>
      </w:tblGrid>
      <w:tr>
        <w:trPr>
          <w:tblHeader/>
        </w:trPr>
        <w:tc>
          <w:tcPr>
            <w:tcW w:type="dxa" w:w="2200"/>
            <w:tcBorders>
              <w:top w:val="single" w:color="B4B2A9" w:sz="4"/>
              <w:left w:val="single" w:color="B4B2A9" w:sz="4"/>
              <w:bottom w:val="single" w:color="B4B2A9" w:sz="4"/>
              <w:right w:val="single" w:color="B4B2A9" w:sz="4"/>
            </w:tcBorders>
            <w:shd w:fill="E8F1F6" w:val="clear"/>
            <w:tcMar>
              <w:top w:type="dxa" w:w="80"/>
              <w:left w:type="dxa" w:w="120"/>
              <w:bottom w:type="dxa" w:w="80"/>
              <w:right w:type="dxa" w:w="120"/>
            </w:tcMar>
            <w:vAlign w:val="center"/>
          </w:tcPr>
          <w:p>
            <w:pPr>
              <w:jc w:val="left"/>
            </w:pPr>
            <w:r>
              <w:rPr>
                <w:b/>
                <w:bCs/>
                <w:color w:val="0B3D5C"/>
                <w:sz w:val="19"/>
                <w:szCs w:val="19"/>
              </w:rPr>
              <w:t xml:space="preserve">Category</w:t>
            </w:r>
          </w:p>
        </w:tc>
        <w:tc>
          <w:tcPr>
            <w:tcW w:type="dxa" w:w="3600"/>
            <w:tcBorders>
              <w:top w:val="single" w:color="B4B2A9" w:sz="4"/>
              <w:left w:val="single" w:color="B4B2A9" w:sz="4"/>
              <w:bottom w:val="single" w:color="B4B2A9" w:sz="4"/>
              <w:right w:val="single" w:color="B4B2A9" w:sz="4"/>
            </w:tcBorders>
            <w:shd w:fill="E8F1F6" w:val="clear"/>
            <w:tcMar>
              <w:top w:type="dxa" w:w="80"/>
              <w:left w:type="dxa" w:w="120"/>
              <w:bottom w:type="dxa" w:w="80"/>
              <w:right w:type="dxa" w:w="120"/>
            </w:tcMar>
            <w:vAlign w:val="center"/>
          </w:tcPr>
          <w:p>
            <w:pPr>
              <w:jc w:val="left"/>
            </w:pPr>
            <w:r>
              <w:rPr>
                <w:b/>
                <w:bCs/>
                <w:color w:val="0B3D5C"/>
                <w:sz w:val="19"/>
                <w:szCs w:val="19"/>
              </w:rPr>
              <w:t xml:space="preserve">Representative tools</w:t>
            </w:r>
          </w:p>
        </w:tc>
        <w:tc>
          <w:tcPr>
            <w:tcW w:type="dxa" w:w="3220"/>
            <w:tcBorders>
              <w:top w:val="single" w:color="B4B2A9" w:sz="4"/>
              <w:left w:val="single" w:color="B4B2A9" w:sz="4"/>
              <w:bottom w:val="single" w:color="B4B2A9" w:sz="4"/>
              <w:right w:val="single" w:color="B4B2A9" w:sz="4"/>
            </w:tcBorders>
            <w:shd w:fill="E8F1F6" w:val="clear"/>
            <w:tcMar>
              <w:top w:type="dxa" w:w="80"/>
              <w:left w:type="dxa" w:w="120"/>
              <w:bottom w:type="dxa" w:w="80"/>
              <w:right w:type="dxa" w:w="120"/>
            </w:tcMar>
            <w:vAlign w:val="center"/>
          </w:tcPr>
          <w:p>
            <w:pPr>
              <w:jc w:val="left"/>
            </w:pPr>
            <w:r>
              <w:rPr>
                <w:b/>
                <w:bCs/>
                <w:color w:val="0B3D5C"/>
                <w:sz w:val="19"/>
                <w:szCs w:val="19"/>
              </w:rPr>
              <w:t xml:space="preserve">Limitation</w:t>
            </w:r>
          </w:p>
        </w:tc>
      </w:tr>
      <w:tr>
        <w:tc>
          <w:tcPr>
            <w:tcW w:type="dxa" w:w="22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19"/>
                <w:szCs w:val="19"/>
              </w:rPr>
              <w:t xml:space="preserve">Enterprise CNAPP</w:t>
            </w:r>
          </w:p>
        </w:tc>
        <w:tc>
          <w:tcPr>
            <w:tcW w:type="dxa" w:w="36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19"/>
                <w:szCs w:val="19"/>
              </w:rPr>
              <w:t xml:space="preserve">Wiz, Orca, Prisma Cloud</w:t>
            </w:r>
          </w:p>
        </w:tc>
        <w:tc>
          <w:tcPr>
            <w:tcW w:type="dxa" w:w="322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19"/>
                <w:szCs w:val="19"/>
              </w:rPr>
              <w:t xml:space="preserve">Strong correlation and coverage, but priced and staffed for enterprise budgets, out of reach for most small and midsize teams</w:t>
            </w:r>
          </w:p>
        </w:tc>
      </w:tr>
      <w:tr>
        <w:tc>
          <w:tcPr>
            <w:tcW w:type="dxa" w:w="22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19"/>
                <w:szCs w:val="19"/>
              </w:rPr>
              <w:t xml:space="preserve">Point scanning tools</w:t>
            </w:r>
          </w:p>
        </w:tc>
        <w:tc>
          <w:tcPr>
            <w:tcW w:type="dxa" w:w="36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19"/>
                <w:szCs w:val="19"/>
              </w:rPr>
              <w:t xml:space="preserve">Trivy (containers/vulns), Checkov (IaC), Gitleaks (secrets), Falco (runtime)</w:t>
            </w:r>
          </w:p>
        </w:tc>
        <w:tc>
          <w:tcPr>
            <w:tcW w:type="dxa" w:w="322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19"/>
                <w:szCs w:val="19"/>
              </w:rPr>
              <w:t xml:space="preserve">Each is excellent and free at its specific task, but produces an isolated finding with no shared context across the others</w:t>
            </w:r>
          </w:p>
        </w:tc>
      </w:tr>
      <w:tr>
        <w:tc>
          <w:tcPr>
            <w:tcW w:type="dxa" w:w="22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19"/>
                <w:szCs w:val="19"/>
              </w:rPr>
              <w:t xml:space="preserve">Remediation-focused tools</w:t>
            </w:r>
          </w:p>
        </w:tc>
        <w:tc>
          <w:tcPr>
            <w:tcW w:type="dxa" w:w="36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19"/>
                <w:szCs w:val="19"/>
              </w:rPr>
              <w:t xml:space="preserve">Tamnoon and similar</w:t>
            </w:r>
          </w:p>
        </w:tc>
        <w:tc>
          <w:tcPr>
            <w:tcW w:type="dxa" w:w="322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19"/>
                <w:szCs w:val="19"/>
              </w:rPr>
              <w:t xml:space="preserve">Operationalize fixes on top of existing CNAPP alerts, but do not address the underlying fragmentation or cost-of-entry problem</w:t>
            </w:r>
          </w:p>
        </w:tc>
      </w:tr>
    </w:tbl>
    <w:p>
      <w:pPr>
        <w:spacing w:after="200" w:line="300"/>
      </w:pPr>
      <w:r>
        <w:rPr>
          <w:b w:val="false"/>
          <w:bCs w:val="false"/>
          <w:i w:val="false"/>
          <w:iCs w:val="false"/>
          <w:sz w:val="22"/>
          <w:szCs w:val="22"/>
        </w:rPr>
        <w:t xml:space="preserve">The consistent gap across all three categories is the same one named in Section 2.1: excellent point-in-time detection, with no shared, queryable model connecting findings to each other or to the engineering context (code, ownership, deployment history) that would make a finding actionable rather than just visible.</w:t>
      </w:r>
    </w:p>
    <w:p>
      <w:pPr>
        <w:pStyle w:val="Heading1"/>
        <w:spacing w:after="200" w:before="400"/>
      </w:pPr>
      <w:r>
        <w:t xml:space="preserve">4. Proposed Solution</w:t>
      </w:r>
    </w:p>
    <w:p>
      <w:pPr>
        <w:spacing w:after="160" w:line="300"/>
      </w:pPr>
      <w:r>
        <w:rPr>
          <w:b w:val="false"/>
          <w:bCs w:val="false"/>
          <w:i w:val="false"/>
          <w:iCs w:val="false"/>
          <w:sz w:val="22"/>
          <w:szCs w:val="22"/>
        </w:rPr>
        <w:t xml:space="preserve">SentinelCNAPP's core design decision is to not compete with Trivy, Checkov, Gitleaks, or Falco on detection quality — each is already mature, widely adopted, and free. Instead, SentinelCNAPP integrates them as scanning engines and contributes the layer they collectively lack: a unified graph linking every finding to the asset, identity, and code that produced it, a single risk score computed from that graph rather than from any one tool in isolation, and a dashboard that presents one correlated picture instead of four separate ones.</w:t>
      </w:r>
    </w:p>
    <w:p>
      <w:pPr>
        <w:spacing w:after="200" w:line="300"/>
      </w:pPr>
      <w:r>
        <w:rPr>
          <w:b w:val="false"/>
          <w:bCs w:val="false"/>
          <w:i w:val="false"/>
          <w:iCs w:val="false"/>
          <w:sz w:val="22"/>
          <w:szCs w:val="22"/>
        </w:rPr>
        <w:t xml:space="preserve">This mirrors, and is grounded in, the graph-and-safety-layer pattern already scoped in the SentinelOS and Warden design work: findings are only as useful as the context connecting them, and that context is the product — not another scanner.</w:t>
      </w:r>
    </w:p>
    <w:p>
      <w:pPr>
        <w:pStyle w:val="Heading1"/>
        <w:spacing w:after="200" w:before="400"/>
      </w:pPr>
      <w:r>
        <w:t xml:space="preserve">5. Solution Architecture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0"/>
      </w:tblGrid>
      <w:tr>
        <w:trPr>
          <w:tblHeader/>
        </w:trPr>
        <w:tc>
          <w:tcPr>
            <w:tcW w:type="dxa" w:w="2400"/>
            <w:tcBorders>
              <w:top w:val="single" w:color="B4B2A9" w:sz="4"/>
              <w:left w:val="single" w:color="B4B2A9" w:sz="4"/>
              <w:bottom w:val="single" w:color="B4B2A9" w:sz="4"/>
              <w:right w:val="single" w:color="B4B2A9" w:sz="4"/>
            </w:tcBorders>
            <w:shd w:fill="E8F1F6" w:val="clear"/>
            <w:tcMar>
              <w:top w:type="dxa" w:w="80"/>
              <w:left w:type="dxa" w:w="120"/>
              <w:bottom w:type="dxa" w:w="80"/>
              <w:right w:type="dxa" w:w="120"/>
            </w:tcMar>
            <w:vAlign w:val="center"/>
          </w:tcPr>
          <w:p>
            <w:pPr>
              <w:jc w:val="left"/>
            </w:pPr>
            <w:r>
              <w:rPr>
                <w:b/>
                <w:bCs/>
                <w:color w:val="0B3D5C"/>
                <w:sz w:val="19"/>
                <w:szCs w:val="19"/>
              </w:rPr>
              <w:t xml:space="preserve">Layer</w:t>
            </w:r>
          </w:p>
        </w:tc>
        <w:tc>
          <w:tcPr>
            <w:tcW w:type="dxa" w:w="3200"/>
            <w:tcBorders>
              <w:top w:val="single" w:color="B4B2A9" w:sz="4"/>
              <w:left w:val="single" w:color="B4B2A9" w:sz="4"/>
              <w:bottom w:val="single" w:color="B4B2A9" w:sz="4"/>
              <w:right w:val="single" w:color="B4B2A9" w:sz="4"/>
            </w:tcBorders>
            <w:shd w:fill="E8F1F6" w:val="clear"/>
            <w:tcMar>
              <w:top w:type="dxa" w:w="80"/>
              <w:left w:type="dxa" w:w="120"/>
              <w:bottom w:type="dxa" w:w="80"/>
              <w:right w:type="dxa" w:w="120"/>
            </w:tcMar>
            <w:vAlign w:val="center"/>
          </w:tcPr>
          <w:p>
            <w:pPr>
              <w:jc w:val="left"/>
            </w:pPr>
            <w:r>
              <w:rPr>
                <w:b/>
                <w:bCs/>
                <w:color w:val="0B3D5C"/>
                <w:sz w:val="19"/>
                <w:szCs w:val="19"/>
              </w:rPr>
              <w:t xml:space="preserve">Components</w:t>
            </w:r>
          </w:p>
        </w:tc>
        <w:tc>
          <w:tcPr>
            <w:tcW w:type="dxa" w:w="3420"/>
            <w:tcBorders>
              <w:top w:val="single" w:color="B4B2A9" w:sz="4"/>
              <w:left w:val="single" w:color="B4B2A9" w:sz="4"/>
              <w:bottom w:val="single" w:color="B4B2A9" w:sz="4"/>
              <w:right w:val="single" w:color="B4B2A9" w:sz="4"/>
            </w:tcBorders>
            <w:shd w:fill="E8F1F6" w:val="clear"/>
            <w:tcMar>
              <w:top w:type="dxa" w:w="80"/>
              <w:left w:type="dxa" w:w="120"/>
              <w:bottom w:type="dxa" w:w="80"/>
              <w:right w:type="dxa" w:w="120"/>
            </w:tcMar>
            <w:vAlign w:val="center"/>
          </w:tcPr>
          <w:p>
            <w:pPr>
              <w:jc w:val="left"/>
            </w:pPr>
            <w:r>
              <w:rPr>
                <w:b/>
                <w:bCs/>
                <w:color w:val="0B3D5C"/>
                <w:sz w:val="19"/>
                <w:szCs w:val="19"/>
              </w:rPr>
              <w:t xml:space="preserve">Responsibility</w:t>
            </w:r>
          </w:p>
        </w:tc>
      </w:tr>
      <w:tr>
        <w:tc>
          <w:tcPr>
            <w:tcW w:type="dxa" w:w="24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19"/>
                <w:szCs w:val="19"/>
              </w:rPr>
              <w:t xml:space="preserve">Frontend</w:t>
            </w:r>
          </w:p>
        </w:tc>
        <w:tc>
          <w:tcPr>
            <w:tcW w:type="dxa" w:w="32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19"/>
                <w:szCs w:val="19"/>
              </w:rPr>
              <w:t xml:space="preserve">Next.js / React dashboard</w:t>
            </w:r>
          </w:p>
        </w:tc>
        <w:tc>
          <w:tcPr>
            <w:tcW w:type="dxa" w:w="342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19"/>
                <w:szCs w:val="19"/>
              </w:rPr>
              <w:t xml:space="preserve">Unified view of assets, findings, risk scores, and attack paths</w:t>
            </w:r>
          </w:p>
        </w:tc>
      </w:tr>
      <w:tr>
        <w:tc>
          <w:tcPr>
            <w:tcW w:type="dxa" w:w="24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19"/>
                <w:szCs w:val="19"/>
              </w:rPr>
              <w:t xml:space="preserve">API gateway</w:t>
            </w:r>
          </w:p>
        </w:tc>
        <w:tc>
          <w:tcPr>
            <w:tcW w:type="dxa" w:w="32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19"/>
                <w:szCs w:val="19"/>
              </w:rPr>
              <w:t xml:space="preserve">Single entry point to all microservices</w:t>
            </w:r>
          </w:p>
        </w:tc>
        <w:tc>
          <w:tcPr>
            <w:tcW w:type="dxa" w:w="342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19"/>
                <w:szCs w:val="19"/>
              </w:rPr>
              <w:t xml:space="preserve">Authentication, routing, rate limiting</w:t>
            </w:r>
          </w:p>
        </w:tc>
      </w:tr>
      <w:tr>
        <w:tc>
          <w:tcPr>
            <w:tcW w:type="dxa" w:w="24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19"/>
                <w:szCs w:val="19"/>
              </w:rPr>
              <w:t xml:space="preserve">Scanning microservices</w:t>
            </w:r>
          </w:p>
        </w:tc>
        <w:tc>
          <w:tcPr>
            <w:tcW w:type="dxa" w:w="32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19"/>
                <w:szCs w:val="19"/>
              </w:rPr>
              <w:t xml:space="preserve">IaC (Checkov), container/vuln (Trivy), secrets (Gitleaks), runtime (Falco/eBPF)</w:t>
            </w:r>
          </w:p>
        </w:tc>
        <w:tc>
          <w:tcPr>
            <w:tcW w:type="dxa" w:w="342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19"/>
                <w:szCs w:val="19"/>
              </w:rPr>
              <w:t xml:space="preserve">Wrap proven engines behind a normalized finding schema</w:t>
            </w:r>
          </w:p>
        </w:tc>
      </w:tr>
      <w:tr>
        <w:tc>
          <w:tcPr>
            <w:tcW w:type="dxa" w:w="24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19"/>
                <w:szCs w:val="19"/>
              </w:rPr>
              <w:t xml:space="preserve">Correlation services</w:t>
            </w:r>
          </w:p>
        </w:tc>
        <w:tc>
          <w:tcPr>
            <w:tcW w:type="dxa" w:w="32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19"/>
                <w:szCs w:val="19"/>
              </w:rPr>
              <w:t xml:space="preserve">CIEM, CSPM, Attack Path Engine, Risk Engine</w:t>
            </w:r>
          </w:p>
        </w:tc>
        <w:tc>
          <w:tcPr>
            <w:tcW w:type="dxa" w:w="342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19"/>
                <w:szCs w:val="19"/>
              </w:rPr>
              <w:t xml:space="preserve">Turn normalized findings into a connected risk picture</w:t>
            </w:r>
          </w:p>
        </w:tc>
      </w:tr>
      <w:tr>
        <w:tc>
          <w:tcPr>
            <w:tcW w:type="dxa" w:w="24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19"/>
                <w:szCs w:val="19"/>
              </w:rPr>
              <w:t xml:space="preserve">Data layer</w:t>
            </w:r>
          </w:p>
        </w:tc>
        <w:tc>
          <w:tcPr>
            <w:tcW w:type="dxa" w:w="32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19"/>
                <w:szCs w:val="19"/>
              </w:rPr>
              <w:t xml:space="preserve">PostgreSQL, Neo4j, Redis, OpenSearch, Kafka/NATS</w:t>
            </w:r>
          </w:p>
        </w:tc>
        <w:tc>
          <w:tcPr>
            <w:tcW w:type="dxa" w:w="342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19"/>
                <w:szCs w:val="19"/>
              </w:rPr>
              <w:t xml:space="preserve">Structured state, the correlation graph, cache, search, and event streaming between services</w:t>
            </w:r>
          </w:p>
        </w:tc>
      </w:tr>
      <w:tr>
        <w:tc>
          <w:tcPr>
            <w:tcW w:type="dxa" w:w="24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19"/>
                <w:szCs w:val="19"/>
              </w:rPr>
              <w:t xml:space="preserve">Integrations</w:t>
            </w:r>
          </w:p>
        </w:tc>
        <w:tc>
          <w:tcPr>
            <w:tcW w:type="dxa" w:w="32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19"/>
                <w:szCs w:val="19"/>
              </w:rPr>
              <w:t xml:space="preserve">AWS, Azure, GCP, Kubernetes, GitHub/GitLab, container registries</w:t>
            </w:r>
          </w:p>
        </w:tc>
        <w:tc>
          <w:tcPr>
            <w:tcW w:type="dxa" w:w="342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19"/>
                <w:szCs w:val="19"/>
              </w:rPr>
              <w:t xml:space="preserve">Sources the platform ingests findings and asset data from</w:t>
            </w:r>
          </w:p>
        </w:tc>
      </w:tr>
    </w:tbl>
    <w:p>
      <w:pPr>
        <w:spacing w:after="100" w:line="300"/>
      </w:pPr>
      <w:r>
        <w:rPr>
          <w:b w:val="false"/>
          <w:bCs w:val="false"/>
          <w:i w:val="false"/>
          <w:iCs w:val="false"/>
          <w:sz w:val="22"/>
          <w:szCs w:val="22"/>
        </w:rPr>
        <w:t xml:space="preserve"/>
      </w:r>
    </w:p>
    <w:p>
      <w:pPr>
        <w:pStyle w:val="Heading2"/>
        <w:spacing w:after="150" w:before="300"/>
      </w:pPr>
      <w:r>
        <w:t xml:space="preserve">5.1 Representative finding-normalization flow</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4B2A9" w:sz="4"/>
              <w:left w:val="single" w:color="B4B2A9" w:sz="4"/>
              <w:bottom w:val="single" w:color="B4B2A9" w:sz="4"/>
              <w:right w:val="single" w:color="B4B2A9" w:sz="4"/>
            </w:tcBorders>
            <w:shd w:fill="F4F3F0" w:val="clear"/>
            <w:tcMar>
              <w:top w:type="dxa" w:w="140"/>
              <w:left w:type="dxa" w:w="180"/>
              <w:bottom w:type="dxa" w:w="140"/>
              <w:right w:type="dxa" w:w="180"/>
            </w:tcMar>
          </w:tcPr>
          <w:p>
            <w:pPr>
              <w:spacing w:after="20"/>
            </w:pPr>
            <w:r>
              <w:rPr>
                <w:rFonts w:ascii="Consolas" w:cs="Consolas" w:eastAsia="Consolas" w:hAnsi="Consolas"/>
                <w:sz w:val="18"/>
                <w:szCs w:val="18"/>
              </w:rPr>
              <w:t xml:space="preserve">// Every scanning microservice emits a normalized Finding</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"source": "trivy",</w:t>
            </w:r>
          </w:p>
          <w:p>
            <w:pPr>
              <w:spacing w:after="20"/>
            </w:pPr>
            <w:r>
              <w:rPr>
                <w:rFonts w:ascii="Consolas" w:cs="Consolas" w:eastAsia="Consolas" w:hAnsi="Consolas"/>
                <w:sz w:val="18"/>
                <w:szCs w:val="18"/>
              </w:rPr>
              <w:t xml:space="preserve">  "type": "vulnerability",</w:t>
            </w:r>
          </w:p>
          <w:p>
            <w:pPr>
              <w:spacing w:after="20"/>
            </w:pPr>
            <w:r>
              <w:rPr>
                <w:rFonts w:ascii="Consolas" w:cs="Consolas" w:eastAsia="Consolas" w:hAnsi="Consolas"/>
                <w:sz w:val="18"/>
                <w:szCs w:val="18"/>
              </w:rPr>
              <w:t xml:space="preserve">  "severity": "high",</w:t>
            </w:r>
          </w:p>
          <w:p>
            <w:pPr>
              <w:spacing w:after="20"/>
            </w:pPr>
            <w:r>
              <w:rPr>
                <w:rFonts w:ascii="Consolas" w:cs="Consolas" w:eastAsia="Consolas" w:hAnsi="Consolas"/>
                <w:sz w:val="18"/>
                <w:szCs w:val="18"/>
              </w:rPr>
              <w:t xml:space="preserve">  "asset_id": "svc-checkout-api",</w:t>
            </w:r>
          </w:p>
          <w:p>
            <w:pPr>
              <w:spacing w:after="20"/>
            </w:pPr>
            <w:r>
              <w:rPr>
                <w:rFonts w:ascii="Consolas" w:cs="Consolas" w:eastAsia="Consolas" w:hAnsi="Consolas"/>
                <w:sz w:val="18"/>
                <w:szCs w:val="18"/>
              </w:rPr>
              <w:t xml:space="preserve">  "detail": "CVE-2026-XXXXX in libX 2.3.1",</w:t>
            </w:r>
          </w:p>
          <w:p>
            <w:pPr>
              <w:spacing w:after="20"/>
            </w:pPr>
            <w:r>
              <w:rPr>
                <w:rFonts w:ascii="Consolas" w:cs="Consolas" w:eastAsia="Consolas" w:hAnsi="Consolas"/>
                <w:sz w:val="18"/>
                <w:szCs w:val="18"/>
              </w:rPr>
              <w:t xml:space="preserve">  "detected_at": "2026-07-20T04:12:00Z"</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The correlation service writes this into the graph as:</w:t>
            </w:r>
          </w:p>
          <w:p>
            <w:pPr>
              <w:spacing w:after="20"/>
            </w:pPr>
            <w:r>
              <w:rPr>
                <w:rFonts w:ascii="Consolas" w:cs="Consolas" w:eastAsia="Consolas" w:hAnsi="Consolas"/>
                <w:sz w:val="18"/>
                <w:szCs w:val="18"/>
              </w:rPr>
              <w:t xml:space="preserve">(:Finding {type:'vulnerability'})-[:FOUND_IN]-&gt;(:Dependency)</w:t>
            </w:r>
          </w:p>
          <w:p>
            <w:pPr>
              <w:spacing w:after="20"/>
            </w:pPr>
            <w:r>
              <w:rPr>
                <w:rFonts w:ascii="Consolas" w:cs="Consolas" w:eastAsia="Consolas" w:hAnsi="Consolas"/>
                <w:sz w:val="18"/>
                <w:szCs w:val="18"/>
              </w:rPr>
              <w:t xml:space="preserve">      &lt;-[:DEPENDS_ON]-(:Service {id:'svc-checkout-api'})</w:t>
            </w:r>
          </w:p>
        </w:tc>
      </w:tr>
    </w:tbl>
    <w:p>
      <w:pPr>
        <w:spacing w:after="200" w:line="300"/>
      </w:pPr>
      <w:r>
        <w:rPr>
          <w:b w:val="false"/>
          <w:bCs w:val="false"/>
          <w:i w:val="false"/>
          <w:iCs w:val="false"/>
          <w:sz w:val="22"/>
          <w:szCs w:val="22"/>
        </w:rPr>
        <w:t xml:space="preserve">This is the same normalize-then-graph pattern already specified for the Production Intelligence Graph — SentinelCNAPP's scanning modules are new ingestion adapters into a graph of the same shape, not a separate system.</w:t>
      </w:r>
    </w:p>
    <w:p>
      <w:pPr>
        <w:pStyle w:val="Heading1"/>
        <w:spacing w:after="200" w:before="400"/>
      </w:pPr>
      <w:r>
        <w:t xml:space="preserve">6. Core Modules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620"/>
      </w:tblGrid>
      <w:tr>
        <w:trPr>
          <w:tblHeader/>
        </w:trPr>
        <w:tc>
          <w:tcPr>
            <w:tcW w:type="dxa" w:w="2600"/>
            <w:tcBorders>
              <w:top w:val="single" w:color="B4B2A9" w:sz="4"/>
              <w:left w:val="single" w:color="B4B2A9" w:sz="4"/>
              <w:bottom w:val="single" w:color="B4B2A9" w:sz="4"/>
              <w:right w:val="single" w:color="B4B2A9" w:sz="4"/>
            </w:tcBorders>
            <w:shd w:fill="E8F1F6" w:val="clear"/>
            <w:tcMar>
              <w:top w:type="dxa" w:w="80"/>
              <w:left w:type="dxa" w:w="120"/>
              <w:bottom w:type="dxa" w:w="80"/>
              <w:right w:type="dxa" w:w="120"/>
            </w:tcMar>
            <w:vAlign w:val="center"/>
          </w:tcPr>
          <w:p>
            <w:pPr>
              <w:jc w:val="left"/>
            </w:pPr>
            <w:r>
              <w:rPr>
                <w:b/>
                <w:bCs/>
                <w:color w:val="0B3D5C"/>
                <w:sz w:val="19"/>
                <w:szCs w:val="19"/>
              </w:rPr>
              <w:t xml:space="preserve">Module</w:t>
            </w:r>
          </w:p>
        </w:tc>
        <w:tc>
          <w:tcPr>
            <w:tcW w:type="dxa" w:w="2800"/>
            <w:tcBorders>
              <w:top w:val="single" w:color="B4B2A9" w:sz="4"/>
              <w:left w:val="single" w:color="B4B2A9" w:sz="4"/>
              <w:bottom w:val="single" w:color="B4B2A9" w:sz="4"/>
              <w:right w:val="single" w:color="B4B2A9" w:sz="4"/>
            </w:tcBorders>
            <w:shd w:fill="E8F1F6" w:val="clear"/>
            <w:tcMar>
              <w:top w:type="dxa" w:w="80"/>
              <w:left w:type="dxa" w:w="120"/>
              <w:bottom w:type="dxa" w:w="80"/>
              <w:right w:type="dxa" w:w="120"/>
            </w:tcMar>
            <w:vAlign w:val="center"/>
          </w:tcPr>
          <w:p>
            <w:pPr>
              <w:jc w:val="left"/>
            </w:pPr>
            <w:r>
              <w:rPr>
                <w:b/>
                <w:bCs/>
                <w:color w:val="0B3D5C"/>
                <w:sz w:val="19"/>
                <w:szCs w:val="19"/>
              </w:rPr>
              <w:t xml:space="preserve">Built on</w:t>
            </w:r>
          </w:p>
        </w:tc>
        <w:tc>
          <w:tcPr>
            <w:tcW w:type="dxa" w:w="3620"/>
            <w:tcBorders>
              <w:top w:val="single" w:color="B4B2A9" w:sz="4"/>
              <w:left w:val="single" w:color="B4B2A9" w:sz="4"/>
              <w:bottom w:val="single" w:color="B4B2A9" w:sz="4"/>
              <w:right w:val="single" w:color="B4B2A9" w:sz="4"/>
            </w:tcBorders>
            <w:shd w:fill="E8F1F6" w:val="clear"/>
            <w:tcMar>
              <w:top w:type="dxa" w:w="80"/>
              <w:left w:type="dxa" w:w="120"/>
              <w:bottom w:type="dxa" w:w="80"/>
              <w:right w:type="dxa" w:w="120"/>
            </w:tcMar>
            <w:vAlign w:val="center"/>
          </w:tcPr>
          <w:p>
            <w:pPr>
              <w:jc w:val="left"/>
            </w:pPr>
            <w:r>
              <w:rPr>
                <w:b/>
                <w:bCs/>
                <w:color w:val="0B3D5C"/>
                <w:sz w:val="19"/>
                <w:szCs w:val="19"/>
              </w:rPr>
              <w:t xml:space="preserve">MVP status</w:t>
            </w:r>
          </w:p>
        </w:tc>
      </w:tr>
      <w:tr>
        <w:tc>
          <w:tcPr>
            <w:tcW w:type="dxa" w:w="26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19"/>
                <w:szCs w:val="19"/>
              </w:rPr>
              <w:t xml:space="preserve">Cloud Asset Inventory</w:t>
            </w:r>
          </w:p>
        </w:tc>
        <w:tc>
          <w:tcPr>
            <w:tcW w:type="dxa" w:w="28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19"/>
                <w:szCs w:val="19"/>
              </w:rPr>
              <w:t xml:space="preserve">Custom, cloud-provider APIs</w:t>
            </w:r>
          </w:p>
        </w:tc>
        <w:tc>
          <w:tcPr>
            <w:tcW w:type="dxa" w:w="362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19"/>
                <w:szCs w:val="19"/>
              </w:rPr>
              <w:t xml:space="preserve">In scope — v1</w:t>
            </w:r>
          </w:p>
        </w:tc>
      </w:tr>
      <w:tr>
        <w:tc>
          <w:tcPr>
            <w:tcW w:type="dxa" w:w="26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19"/>
                <w:szCs w:val="19"/>
              </w:rPr>
              <w:t xml:space="preserve">IaC Scanner</w:t>
            </w:r>
          </w:p>
        </w:tc>
        <w:tc>
          <w:tcPr>
            <w:tcW w:type="dxa" w:w="28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19"/>
                <w:szCs w:val="19"/>
              </w:rPr>
              <w:t xml:space="preserve">Checkov</w:t>
            </w:r>
          </w:p>
        </w:tc>
        <w:tc>
          <w:tcPr>
            <w:tcW w:type="dxa" w:w="362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19"/>
                <w:szCs w:val="19"/>
              </w:rPr>
              <w:t xml:space="preserve">In scope — v1</w:t>
            </w:r>
          </w:p>
        </w:tc>
      </w:tr>
      <w:tr>
        <w:tc>
          <w:tcPr>
            <w:tcW w:type="dxa" w:w="26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19"/>
                <w:szCs w:val="19"/>
              </w:rPr>
              <w:t xml:space="preserve">Container Image Scanner</w:t>
            </w:r>
          </w:p>
        </w:tc>
        <w:tc>
          <w:tcPr>
            <w:tcW w:type="dxa" w:w="28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19"/>
                <w:szCs w:val="19"/>
              </w:rPr>
              <w:t xml:space="preserve">Trivy</w:t>
            </w:r>
          </w:p>
        </w:tc>
        <w:tc>
          <w:tcPr>
            <w:tcW w:type="dxa" w:w="362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19"/>
                <w:szCs w:val="19"/>
              </w:rPr>
              <w:t xml:space="preserve">In scope — v1</w:t>
            </w:r>
          </w:p>
        </w:tc>
      </w:tr>
      <w:tr>
        <w:tc>
          <w:tcPr>
            <w:tcW w:type="dxa" w:w="26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19"/>
                <w:szCs w:val="19"/>
              </w:rPr>
              <w:t xml:space="preserve">Kubernetes Security Scanner</w:t>
            </w:r>
          </w:p>
        </w:tc>
        <w:tc>
          <w:tcPr>
            <w:tcW w:type="dxa" w:w="28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19"/>
                <w:szCs w:val="19"/>
              </w:rPr>
              <w:t xml:space="preserve">Trivy + custom K8s API checks</w:t>
            </w:r>
          </w:p>
        </w:tc>
        <w:tc>
          <w:tcPr>
            <w:tcW w:type="dxa" w:w="362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19"/>
                <w:szCs w:val="19"/>
              </w:rPr>
              <w:t xml:space="preserve">In scope — v1</w:t>
            </w:r>
          </w:p>
        </w:tc>
      </w:tr>
      <w:tr>
        <w:tc>
          <w:tcPr>
            <w:tcW w:type="dxa" w:w="26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19"/>
                <w:szCs w:val="19"/>
              </w:rPr>
              <w:t xml:space="preserve">Secrets Scanner</w:t>
            </w:r>
          </w:p>
        </w:tc>
        <w:tc>
          <w:tcPr>
            <w:tcW w:type="dxa" w:w="28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19"/>
                <w:szCs w:val="19"/>
              </w:rPr>
              <w:t xml:space="preserve">Gitleaks</w:t>
            </w:r>
          </w:p>
        </w:tc>
        <w:tc>
          <w:tcPr>
            <w:tcW w:type="dxa" w:w="362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19"/>
                <w:szCs w:val="19"/>
              </w:rPr>
              <w:t xml:space="preserve">In scope — v1</w:t>
            </w:r>
          </w:p>
        </w:tc>
      </w:tr>
      <w:tr>
        <w:tc>
          <w:tcPr>
            <w:tcW w:type="dxa" w:w="26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19"/>
                <w:szCs w:val="19"/>
              </w:rPr>
              <w:t xml:space="preserve">CSPM</w:t>
            </w:r>
          </w:p>
        </w:tc>
        <w:tc>
          <w:tcPr>
            <w:tcW w:type="dxa" w:w="28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19"/>
                <w:szCs w:val="19"/>
              </w:rPr>
              <w:t xml:space="preserve">Custom, cloud-provider APIs</w:t>
            </w:r>
          </w:p>
        </w:tc>
        <w:tc>
          <w:tcPr>
            <w:tcW w:type="dxa" w:w="362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19"/>
                <w:szCs w:val="19"/>
              </w:rPr>
              <w:t xml:space="preserve">Phase 2, post-MVP</w:t>
            </w:r>
          </w:p>
        </w:tc>
      </w:tr>
      <w:tr>
        <w:tc>
          <w:tcPr>
            <w:tcW w:type="dxa" w:w="26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19"/>
                <w:szCs w:val="19"/>
              </w:rPr>
              <w:t xml:space="preserve">CIEM (Identity Security)</w:t>
            </w:r>
          </w:p>
        </w:tc>
        <w:tc>
          <w:tcPr>
            <w:tcW w:type="dxa" w:w="28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19"/>
                <w:szCs w:val="19"/>
              </w:rPr>
              <w:t xml:space="preserve">Custom, extends the graph as in the Warden design</w:t>
            </w:r>
          </w:p>
        </w:tc>
        <w:tc>
          <w:tcPr>
            <w:tcW w:type="dxa" w:w="362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19"/>
                <w:szCs w:val="19"/>
              </w:rPr>
              <w:t xml:space="preserve">Phase 2, post-MVP</w:t>
            </w:r>
          </w:p>
        </w:tc>
      </w:tr>
      <w:tr>
        <w:tc>
          <w:tcPr>
            <w:tcW w:type="dxa" w:w="26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19"/>
                <w:szCs w:val="19"/>
              </w:rPr>
              <w:t xml:space="preserve">Compliance Engine</w:t>
            </w:r>
          </w:p>
        </w:tc>
        <w:tc>
          <w:tcPr>
            <w:tcW w:type="dxa" w:w="28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19"/>
                <w:szCs w:val="19"/>
              </w:rPr>
              <w:t xml:space="preserve">Custom, rules over existing findings</w:t>
            </w:r>
          </w:p>
        </w:tc>
        <w:tc>
          <w:tcPr>
            <w:tcW w:type="dxa" w:w="362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19"/>
                <w:szCs w:val="19"/>
              </w:rPr>
              <w:t xml:space="preserve">Phase 3</w:t>
            </w:r>
          </w:p>
        </w:tc>
      </w:tr>
      <w:tr>
        <w:tc>
          <w:tcPr>
            <w:tcW w:type="dxa" w:w="26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19"/>
                <w:szCs w:val="19"/>
              </w:rPr>
              <w:t xml:space="preserve">Vulnerability Management</w:t>
            </w:r>
          </w:p>
        </w:tc>
        <w:tc>
          <w:tcPr>
            <w:tcW w:type="dxa" w:w="28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19"/>
                <w:szCs w:val="19"/>
              </w:rPr>
              <w:t xml:space="preserve">Trivy data, aggregated over time</w:t>
            </w:r>
          </w:p>
        </w:tc>
        <w:tc>
          <w:tcPr>
            <w:tcW w:type="dxa" w:w="362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19"/>
                <w:szCs w:val="19"/>
              </w:rPr>
              <w:t xml:space="preserve">Phase 3</w:t>
            </w:r>
          </w:p>
        </w:tc>
      </w:tr>
      <w:tr>
        <w:tc>
          <w:tcPr>
            <w:tcW w:type="dxa" w:w="26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19"/>
                <w:szCs w:val="19"/>
              </w:rPr>
              <w:t xml:space="preserve">Runtime Protection</w:t>
            </w:r>
          </w:p>
        </w:tc>
        <w:tc>
          <w:tcPr>
            <w:tcW w:type="dxa" w:w="28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19"/>
                <w:szCs w:val="19"/>
              </w:rPr>
              <w:t xml:space="preserve">Falco / eBPF</w:t>
            </w:r>
          </w:p>
        </w:tc>
        <w:tc>
          <w:tcPr>
            <w:tcW w:type="dxa" w:w="362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19"/>
                <w:szCs w:val="19"/>
              </w:rPr>
              <w:t xml:space="preserve">Phase 4 — highest operational complexity</w:t>
            </w:r>
          </w:p>
        </w:tc>
      </w:tr>
      <w:tr>
        <w:tc>
          <w:tcPr>
            <w:tcW w:type="dxa" w:w="26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19"/>
                <w:szCs w:val="19"/>
              </w:rPr>
              <w:t xml:space="preserve">Attack Path Engine</w:t>
            </w:r>
          </w:p>
        </w:tc>
        <w:tc>
          <w:tcPr>
            <w:tcW w:type="dxa" w:w="28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19"/>
                <w:szCs w:val="19"/>
              </w:rPr>
              <w:t xml:space="preserve">Custom, Neo4j traversal</w:t>
            </w:r>
          </w:p>
        </w:tc>
        <w:tc>
          <w:tcPr>
            <w:tcW w:type="dxa" w:w="362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19"/>
                <w:szCs w:val="19"/>
              </w:rPr>
              <w:t xml:space="preserve">Phase 4, depends on CIEM + CSPM data being present</w:t>
            </w:r>
          </w:p>
        </w:tc>
      </w:tr>
      <w:tr>
        <w:tc>
          <w:tcPr>
            <w:tcW w:type="dxa" w:w="26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19"/>
                <w:szCs w:val="19"/>
              </w:rPr>
              <w:t xml:space="preserve">Risk Scoring</w:t>
            </w:r>
          </w:p>
        </w:tc>
        <w:tc>
          <w:tcPr>
            <w:tcW w:type="dxa" w:w="28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19"/>
                <w:szCs w:val="19"/>
              </w:rPr>
              <w:t xml:space="preserve">Custom, computed from the graph</w:t>
            </w:r>
          </w:p>
        </w:tc>
        <w:tc>
          <w:tcPr>
            <w:tcW w:type="dxa" w:w="362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19"/>
                <w:szCs w:val="19"/>
              </w:rPr>
              <w:t xml:space="preserve">Phase 4</w:t>
            </w:r>
          </w:p>
        </w:tc>
      </w:tr>
      <w:tr>
        <w:tc>
          <w:tcPr>
            <w:tcW w:type="dxa" w:w="26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19"/>
                <w:szCs w:val="19"/>
              </w:rPr>
              <w:t xml:space="preserve">Auto Remediation</w:t>
            </w:r>
          </w:p>
        </w:tc>
        <w:tc>
          <w:tcPr>
            <w:tcW w:type="dxa" w:w="28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19"/>
                <w:szCs w:val="19"/>
              </w:rPr>
              <w:t xml:space="preserve">Custom, gated by human approval</w:t>
            </w:r>
          </w:p>
        </w:tc>
        <w:tc>
          <w:tcPr>
            <w:tcW w:type="dxa" w:w="362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19"/>
                <w:szCs w:val="19"/>
              </w:rPr>
              <w:t xml:space="preserve">Phase 5, requires the Safety and Governance pattern from prior design work</w:t>
            </w:r>
          </w:p>
        </w:tc>
      </w:tr>
      <w:tr>
        <w:tc>
          <w:tcPr>
            <w:tcW w:type="dxa" w:w="26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19"/>
                <w:szCs w:val="19"/>
              </w:rPr>
              <w:t xml:space="preserve">AI Security Assistant</w:t>
            </w:r>
          </w:p>
        </w:tc>
        <w:tc>
          <w:tcPr>
            <w:tcW w:type="dxa" w:w="28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19"/>
                <w:szCs w:val="19"/>
              </w:rPr>
              <w:t xml:space="preserve">Custom, LLM over the graph</w:t>
            </w:r>
          </w:p>
        </w:tc>
        <w:tc>
          <w:tcPr>
            <w:tcW w:type="dxa" w:w="362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19"/>
                <w:szCs w:val="19"/>
              </w:rPr>
              <w:t xml:space="preserve">Phase 6, last — depends on all prior data being reliable</w:t>
            </w:r>
          </w:p>
        </w:tc>
      </w:tr>
    </w:tbl>
    <w:p>
      <w:pPr>
        <w:spacing w:after="100" w:line="300"/>
      </w:pPr>
      <w:r>
        <w:rPr>
          <w:b w:val="false"/>
          <w:bCs w:val="false"/>
          <w:i w:val="false"/>
          <w:iCs w:val="false"/>
          <w:sz w:val="22"/>
          <w:szCs w:val="22"/>
        </w:rPr>
        <w:t xml:space="preserve"/>
      </w:r>
    </w:p>
    <w:p>
      <w:pPr>
        <w:pStyle w:val="Heading1"/>
        <w:spacing w:after="200" w:before="400"/>
      </w:pPr>
      <w:r>
        <w:t xml:space="preserve">7. Differentiation</w:t>
      </w:r>
    </w:p>
    <w:p>
      <w:pPr>
        <w:pStyle w:val="ListParagraph"/>
        <w:numPr>
          <w:ilvl w:val="0"/>
          <w:numId w:val="2"/>
        </w:numPr>
        <w:spacing w:after="100" w:line="300"/>
      </w:pPr>
      <w:r>
        <w:rPr>
          <w:sz w:val="22"/>
          <w:szCs w:val="22"/>
        </w:rPr>
        <w:t xml:space="preserve">Against Wiz, Orca, and Prisma Cloud: open-source and self-hostable, addressing the cost-of-entry gap that leaves small and midsize teams under-protected despite the same exposure profile as larger organizations</w:t>
      </w:r>
    </w:p>
    <w:p>
      <w:pPr>
        <w:pStyle w:val="ListParagraph"/>
        <w:numPr>
          <w:ilvl w:val="0"/>
          <w:numId w:val="2"/>
        </w:numPr>
        <w:spacing w:after="100" w:line="300"/>
      </w:pPr>
      <w:r>
        <w:rPr>
          <w:sz w:val="22"/>
          <w:szCs w:val="22"/>
        </w:rPr>
        <w:t xml:space="preserve">Against standalone Trivy, Checkov, Gitleaks, and Falco: none of these correlate with each other; SentinelCNAPP's value is entirely in the graph and risk model connecting their output, not in out-scanning them</w:t>
      </w:r>
    </w:p>
    <w:p>
      <w:pPr>
        <w:pStyle w:val="ListParagraph"/>
        <w:numPr>
          <w:ilvl w:val="0"/>
          <w:numId w:val="2"/>
        </w:numPr>
        <w:spacing w:after="100" w:line="300"/>
      </w:pPr>
      <w:r>
        <w:rPr>
          <w:sz w:val="22"/>
          <w:szCs w:val="22"/>
        </w:rPr>
        <w:t xml:space="preserve">Against remediation-only tools such as Tamnoon: SentinelCNAPP's remediation layer (Phase 5) is native to the same graph used for detection and correlation, rather than a separate system consuming another platform's alerts</w:t>
      </w:r>
    </w:p>
    <w:p>
      <w:pPr>
        <w:pStyle w:val="Heading1"/>
        <w:spacing w:after="200" w:before="400"/>
      </w:pPr>
      <w:r>
        <w:t xml:space="preserve">8. Minimum Viable Product Scope</w:t>
      </w:r>
    </w:p>
    <w:p>
      <w:pPr>
        <w:spacing w:after="120" w:line="300"/>
      </w:pPr>
      <w:r>
        <w:rPr>
          <w:b w:val="false"/>
          <w:bCs w:val="false"/>
          <w:i w:val="false"/>
          <w:iCs w:val="false"/>
          <w:sz w:val="22"/>
          <w:szCs w:val="22"/>
        </w:rPr>
        <w:t xml:space="preserve">The original blueprint's six phases and fifteen modules describe the full, long-term system. To avoid the same breadth risk identified in prior design work on this platform family, the MVP is scoped to the five modules and one phase most directly validated by the problem data in Section 2 — asset visibility, IaC/container/Kubernetes/secrets scanning, unified under one dashboard and graph — with everything requiring runtime protection, compliance mapping, or autonomous remediation deferred until this core is proven against a real environment.</w:t>
      </w:r>
    </w:p>
    <w:p>
      <w:pPr>
        <w:pStyle w:val="ListParagraph"/>
        <w:numPr>
          <w:ilvl w:val="0"/>
          <w:numId w:val="3"/>
        </w:numPr>
        <w:spacing w:after="100" w:line="300"/>
      </w:pPr>
      <w:r>
        <w:rPr>
          <w:sz w:val="22"/>
          <w:szCs w:val="22"/>
        </w:rPr>
        <w:t xml:space="preserve">Cloud asset inventory across one provider (start with AWS or a self-hosted Kubernetes cluster, not all three simultaneously)</w:t>
      </w:r>
    </w:p>
    <w:p>
      <w:pPr>
        <w:pStyle w:val="ListParagraph"/>
        <w:numPr>
          <w:ilvl w:val="0"/>
          <w:numId w:val="3"/>
        </w:numPr>
        <w:spacing w:after="100" w:line="300"/>
      </w:pPr>
      <w:r>
        <w:rPr>
          <w:sz w:val="22"/>
          <w:szCs w:val="22"/>
        </w:rPr>
        <w:t xml:space="preserve">IaC scanning via Checkov, normalized into the finding schema in Section 5.1</w:t>
      </w:r>
    </w:p>
    <w:p>
      <w:pPr>
        <w:pStyle w:val="ListParagraph"/>
        <w:numPr>
          <w:ilvl w:val="0"/>
          <w:numId w:val="3"/>
        </w:numPr>
        <w:spacing w:after="100" w:line="300"/>
      </w:pPr>
      <w:r>
        <w:rPr>
          <w:sz w:val="22"/>
          <w:szCs w:val="22"/>
        </w:rPr>
        <w:t xml:space="preserve">Container and Kubernetes scanning via Trivy</w:t>
      </w:r>
    </w:p>
    <w:p>
      <w:pPr>
        <w:pStyle w:val="ListParagraph"/>
        <w:numPr>
          <w:ilvl w:val="0"/>
          <w:numId w:val="3"/>
        </w:numPr>
        <w:spacing w:after="100" w:line="300"/>
      </w:pPr>
      <w:r>
        <w:rPr>
          <w:sz w:val="22"/>
          <w:szCs w:val="22"/>
        </w:rPr>
        <w:t xml:space="preserve">Secrets scanning via Gitleaks across connected Git repositories</w:t>
      </w:r>
    </w:p>
    <w:p>
      <w:pPr>
        <w:pStyle w:val="ListParagraph"/>
        <w:numPr>
          <w:ilvl w:val="0"/>
          <w:numId w:val="3"/>
        </w:numPr>
        <w:spacing w:after="100" w:line="300"/>
      </w:pPr>
      <w:r>
        <w:rPr>
          <w:sz w:val="22"/>
          <w:szCs w:val="22"/>
        </w:rPr>
        <w:t xml:space="preserve">A correlation graph (Neo4j) linking findings to assets, and a dashboard presenting one merged risk view instead of four tool outputs</w:t>
      </w:r>
    </w:p>
    <w:p>
      <w:pPr>
        <w:spacing w:after="100" w:line="300"/>
      </w:pPr>
      <w:r>
        <w:rPr>
          <w:b w:val="false"/>
          <w:bCs w:val="false"/>
          <w:i w:val="false"/>
          <w:iCs w:val="false"/>
          <w:sz w:val="22"/>
          <w:szCs w:val="22"/>
        </w:rPr>
        <w:t xml:space="preserve"/>
      </w:r>
    </w:p>
    <w:p>
      <w:pPr>
        <w:pStyle w:val="Heading1"/>
        <w:spacing w:after="200" w:before="400"/>
      </w:pPr>
      <w:r>
        <w:t xml:space="preserve">9. Development Roadmap</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1620"/>
      </w:tblGrid>
      <w:tr>
        <w:trPr>
          <w:tblHeader/>
        </w:trPr>
        <w:tc>
          <w:tcPr>
            <w:tcW w:type="dxa" w:w="2600"/>
            <w:tcBorders>
              <w:top w:val="single" w:color="B4B2A9" w:sz="4"/>
              <w:left w:val="single" w:color="B4B2A9" w:sz="4"/>
              <w:bottom w:val="single" w:color="B4B2A9" w:sz="4"/>
              <w:right w:val="single" w:color="B4B2A9" w:sz="4"/>
            </w:tcBorders>
            <w:shd w:fill="E8F1F6" w:val="clear"/>
            <w:tcMar>
              <w:top w:type="dxa" w:w="80"/>
              <w:left w:type="dxa" w:w="120"/>
              <w:bottom w:type="dxa" w:w="80"/>
              <w:right w:type="dxa" w:w="120"/>
            </w:tcMar>
            <w:vAlign w:val="center"/>
          </w:tcPr>
          <w:p>
            <w:pPr>
              <w:jc w:val="left"/>
            </w:pPr>
            <w:r>
              <w:rPr>
                <w:b/>
                <w:bCs/>
                <w:color w:val="0B3D5C"/>
                <w:sz w:val="19"/>
                <w:szCs w:val="19"/>
              </w:rPr>
              <w:t xml:space="preserve">Phase</w:t>
            </w:r>
          </w:p>
        </w:tc>
        <w:tc>
          <w:tcPr>
            <w:tcW w:type="dxa" w:w="4600"/>
            <w:tcBorders>
              <w:top w:val="single" w:color="B4B2A9" w:sz="4"/>
              <w:left w:val="single" w:color="B4B2A9" w:sz="4"/>
              <w:bottom w:val="single" w:color="B4B2A9" w:sz="4"/>
              <w:right w:val="single" w:color="B4B2A9" w:sz="4"/>
            </w:tcBorders>
            <w:shd w:fill="E8F1F6" w:val="clear"/>
            <w:tcMar>
              <w:top w:type="dxa" w:w="80"/>
              <w:left w:type="dxa" w:w="120"/>
              <w:bottom w:type="dxa" w:w="80"/>
              <w:right w:type="dxa" w:w="120"/>
            </w:tcMar>
            <w:vAlign w:val="center"/>
          </w:tcPr>
          <w:p>
            <w:pPr>
              <w:jc w:val="left"/>
            </w:pPr>
            <w:r>
              <w:rPr>
                <w:b/>
                <w:bCs/>
                <w:color w:val="0B3D5C"/>
                <w:sz w:val="19"/>
                <w:szCs w:val="19"/>
              </w:rPr>
              <w:t xml:space="preserve">Deliverable</w:t>
            </w:r>
          </w:p>
        </w:tc>
        <w:tc>
          <w:tcPr>
            <w:tcW w:type="dxa" w:w="1620"/>
            <w:tcBorders>
              <w:top w:val="single" w:color="B4B2A9" w:sz="4"/>
              <w:left w:val="single" w:color="B4B2A9" w:sz="4"/>
              <w:bottom w:val="single" w:color="B4B2A9" w:sz="4"/>
              <w:right w:val="single" w:color="B4B2A9" w:sz="4"/>
            </w:tcBorders>
            <w:shd w:fill="E8F1F6" w:val="clear"/>
            <w:tcMar>
              <w:top w:type="dxa" w:w="80"/>
              <w:left w:type="dxa" w:w="120"/>
              <w:bottom w:type="dxa" w:w="80"/>
              <w:right w:type="dxa" w:w="120"/>
            </w:tcMar>
            <w:vAlign w:val="center"/>
          </w:tcPr>
          <w:p>
            <w:pPr>
              <w:jc w:val="center"/>
            </w:pPr>
            <w:r>
              <w:rPr>
                <w:b/>
                <w:bCs/>
                <w:color w:val="0B3D5C"/>
                <w:sz w:val="19"/>
                <w:szCs w:val="19"/>
              </w:rPr>
              <w:t xml:space="preserve">Duration</w:t>
            </w:r>
          </w:p>
        </w:tc>
      </w:tr>
      <w:tr>
        <w:tc>
          <w:tcPr>
            <w:tcW w:type="dxa" w:w="26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19"/>
                <w:szCs w:val="19"/>
              </w:rPr>
              <w:t xml:space="preserve">1. Foundation</w:t>
            </w:r>
          </w:p>
        </w:tc>
        <w:tc>
          <w:tcPr>
            <w:tcW w:type="dxa" w:w="46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19"/>
                <w:szCs w:val="19"/>
              </w:rPr>
              <w:t xml:space="preserve">Auth, asset inventory, base dashboard (per original blueprint Phase 1)</w:t>
            </w:r>
          </w:p>
        </w:tc>
        <w:tc>
          <w:tcPr>
            <w:tcW w:type="dxa" w:w="162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center"/>
            </w:pPr>
            <w:r>
              <w:rPr>
                <w:b w:val="false"/>
                <w:bCs w:val="false"/>
                <w:sz w:val="19"/>
                <w:szCs w:val="19"/>
              </w:rPr>
              <w:t xml:space="preserve">1.5–2 wks</w:t>
            </w:r>
          </w:p>
        </w:tc>
      </w:tr>
      <w:tr>
        <w:tc>
          <w:tcPr>
            <w:tcW w:type="dxa" w:w="26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19"/>
                <w:szCs w:val="19"/>
              </w:rPr>
              <w:t xml:space="preserve">2. Scanning integration</w:t>
            </w:r>
          </w:p>
        </w:tc>
        <w:tc>
          <w:tcPr>
            <w:tcW w:type="dxa" w:w="46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19"/>
                <w:szCs w:val="19"/>
              </w:rPr>
              <w:t xml:space="preserve">Wrap Checkov, Trivy, and Gitleaks behind the normalized finding schema</w:t>
            </w:r>
          </w:p>
        </w:tc>
        <w:tc>
          <w:tcPr>
            <w:tcW w:type="dxa" w:w="162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center"/>
            </w:pPr>
            <w:r>
              <w:rPr>
                <w:b w:val="false"/>
                <w:bCs w:val="false"/>
                <w:sz w:val="19"/>
                <w:szCs w:val="19"/>
              </w:rPr>
              <w:t xml:space="preserve">2–2.5 wks</w:t>
            </w:r>
          </w:p>
        </w:tc>
      </w:tr>
      <w:tr>
        <w:tc>
          <w:tcPr>
            <w:tcW w:type="dxa" w:w="26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19"/>
                <w:szCs w:val="19"/>
              </w:rPr>
              <w:t xml:space="preserve">3. Correlation graph</w:t>
            </w:r>
          </w:p>
        </w:tc>
        <w:tc>
          <w:tcPr>
            <w:tcW w:type="dxa" w:w="46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19"/>
                <w:szCs w:val="19"/>
              </w:rPr>
              <w:t xml:space="preserve">Neo4j schema, finding-to-asset linking, unified dashboard view</w:t>
            </w:r>
          </w:p>
        </w:tc>
        <w:tc>
          <w:tcPr>
            <w:tcW w:type="dxa" w:w="162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center"/>
            </w:pPr>
            <w:r>
              <w:rPr>
                <w:b w:val="false"/>
                <w:bCs w:val="false"/>
                <w:sz w:val="19"/>
                <w:szCs w:val="19"/>
              </w:rPr>
              <w:t xml:space="preserve">1.5–2 wks</w:t>
            </w:r>
          </w:p>
        </w:tc>
      </w:tr>
      <w:tr>
        <w:tc>
          <w:tcPr>
            <w:tcW w:type="dxa" w:w="26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19"/>
                <w:szCs w:val="19"/>
              </w:rPr>
              <w:t xml:space="preserve">4. Testing &amp; demo prep</w:t>
            </w:r>
          </w:p>
        </w:tc>
        <w:tc>
          <w:tcPr>
            <w:tcW w:type="dxa" w:w="460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left"/>
            </w:pPr>
            <w:r>
              <w:rPr>
                <w:b w:val="false"/>
                <w:bCs w:val="false"/>
                <w:sz w:val="19"/>
                <w:szCs w:val="19"/>
              </w:rPr>
              <w:t xml:space="preserve">Validate against a real multi-service cluster with seeded findings</w:t>
            </w:r>
          </w:p>
        </w:tc>
        <w:tc>
          <w:tcPr>
            <w:tcW w:type="dxa" w:w="1620"/>
            <w:tcBorders>
              <w:top w:val="single" w:color="B4B2A9" w:sz="4"/>
              <w:left w:val="single" w:color="B4B2A9" w:sz="4"/>
              <w:bottom w:val="single" w:color="B4B2A9" w:sz="4"/>
              <w:right w:val="single" w:color="B4B2A9" w:sz="4"/>
            </w:tcBorders>
            <w:tcMar>
              <w:top w:type="dxa" w:w="80"/>
              <w:left w:type="dxa" w:w="120"/>
              <w:bottom w:type="dxa" w:w="80"/>
              <w:right w:type="dxa" w:w="120"/>
            </w:tcMar>
            <w:vAlign w:val="center"/>
          </w:tcPr>
          <w:p>
            <w:pPr>
              <w:jc w:val="center"/>
            </w:pPr>
            <w:r>
              <w:rPr>
                <w:b w:val="false"/>
                <w:bCs w:val="false"/>
                <w:sz w:val="19"/>
                <w:szCs w:val="19"/>
              </w:rPr>
              <w:t xml:space="preserve">1 wk</w:t>
            </w:r>
          </w:p>
        </w:tc>
      </w:tr>
    </w:tbl>
    <w:p>
      <w:pPr>
        <w:spacing w:after="200" w:line="300"/>
      </w:pPr>
      <w:r>
        <w:rPr>
          <w:b w:val="false"/>
          <w:bCs w:val="false"/>
          <w:i w:val="false"/>
          <w:iCs w:val="false"/>
          <w:sz w:val="22"/>
          <w:szCs w:val="22"/>
        </w:rPr>
        <w:t xml:space="preserve">Total: 6–7.5 weeks full-time for a demo-ready MVP covering the five in-scope modules. CSPM, CIEM, compliance, runtime protection, attack-path analysis, auto-remediation, and the AI assistant remain the original blueprint's Phases 2–6, sequenced as real future work rather than assumed complete.</w:t>
      </w:r>
    </w:p>
    <w:p>
      <w:pPr>
        <w:pStyle w:val="Heading1"/>
        <w:spacing w:after="200" w:before="400"/>
      </w:pPr>
      <w:r>
        <w:t xml:space="preserve">10. Risks and Honest Limitations</w:t>
      </w:r>
    </w:p>
    <w:p>
      <w:pPr>
        <w:pStyle w:val="ListParagraph"/>
        <w:numPr>
          <w:ilvl w:val="0"/>
          <w:numId w:val="2"/>
        </w:numPr>
        <w:spacing w:after="100" w:line="300"/>
      </w:pPr>
      <w:r>
        <w:rPr>
          <w:sz w:val="22"/>
          <w:szCs w:val="22"/>
        </w:rPr>
        <w:t xml:space="preserve">Integration maintenance — wrapping Trivy, Checkov, and Gitleaks means tracking three upstream projects' changes and output-format shifts over time, an ongoing cost not present in a from-scratch scanner</w:t>
      </w:r>
    </w:p>
    <w:p>
      <w:pPr>
        <w:pStyle w:val="ListParagraph"/>
        <w:numPr>
          <w:ilvl w:val="0"/>
          <w:numId w:val="2"/>
        </w:numPr>
        <w:spacing w:after="100" w:line="300"/>
      </w:pPr>
      <w:r>
        <w:rPr>
          <w:sz w:val="22"/>
          <w:szCs w:val="22"/>
        </w:rPr>
        <w:t xml:space="preserve">Correlation quality depends on coverage — the graph is only as useful as the breadth of connected sources; a single-provider, single-repo MVP will understate the platform's eventual value</w:t>
      </w:r>
    </w:p>
    <w:p>
      <w:pPr>
        <w:pStyle w:val="ListParagraph"/>
        <w:numPr>
          <w:ilvl w:val="0"/>
          <w:numId w:val="2"/>
        </w:numPr>
        <w:spacing w:after="100" w:line="300"/>
      </w:pPr>
      <w:r>
        <w:rPr>
          <w:sz w:val="22"/>
          <w:szCs w:val="22"/>
        </w:rPr>
        <w:t xml:space="preserve">Runtime protection (Falco/eBPF) and auto-remediation are the highest-risk phases operationally and are deliberately sequenced last, after the correlation core is proven</w:t>
      </w:r>
    </w:p>
    <w:p>
      <w:pPr>
        <w:pStyle w:val="ListParagraph"/>
        <w:numPr>
          <w:ilvl w:val="0"/>
          <w:numId w:val="2"/>
        </w:numPr>
        <w:spacing w:after="100" w:line="300"/>
      </w:pPr>
      <w:r>
        <w:rPr>
          <w:sz w:val="22"/>
          <w:szCs w:val="22"/>
        </w:rPr>
        <w:t xml:space="preserve">This document, like the blueprint it is based on, describes a design — none of SentinelCNAPP has been implemented yet; the roadmap in Section 9 is the actual next step, not a status report</w:t>
      </w:r>
    </w:p>
    <w:p>
      <w:pPr>
        <w:pStyle w:val="Heading1"/>
        <w:spacing w:after="200" w:before="400"/>
      </w:pPr>
      <w:r>
        <w:t xml:space="preserve">11. Conclusion</w:t>
      </w:r>
    </w:p>
    <w:p>
      <w:pPr>
        <w:spacing w:after="100" w:line="300"/>
      </w:pPr>
      <w:r>
        <w:rPr>
          <w:b w:val="false"/>
          <w:bCs w:val="false"/>
          <w:i w:val="false"/>
          <w:iCs w:val="false"/>
          <w:sz w:val="22"/>
          <w:szCs w:val="22"/>
        </w:rPr>
        <w:t xml:space="preserve">SentinelCNAPP's real contribution is not a better scanner — Trivy, Checkov, Gitleaks, and Falco already do that work well and for free. Its contribution is the correlation graph and unified risk view that no combination of standalone tools currently provides, aimed specifically at the fragmentation, skills, and cost-of-entry gaps documented in Section 2. The recommended path is to build the five-module MVP in Section 8 first, proving the correlation value concretely, before expanding into the original blueprint's later phases.</w:t>
      </w:r>
    </w:p>
    <w:sectPr>
      <w:headerReference w:type="default" r:id="rId7"/>
      <w:footerReference w:type="default" r:id="rId8"/>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5E5A"/>
        <w:sz w:val="16"/>
        <w:szCs w:val="16"/>
      </w:rPr>
      <w:t xml:space="preserve">Page </w:t>
    </w:r>
    <w:r>
      <w:rPr>
        <w:color w:val="5F5E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5E5A"/>
        <w:sz w:val="16"/>
        <w:szCs w:val="16"/>
      </w:rPr>
      <w:t xml:space="preserve">SENTINELCNAPP – Problem Statement &amp; Solution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2026-07-24T00:05:18.907Z</dcterms:created>
  <dcterms:modified xsi:type="dcterms:W3CDTF">2026-07-24T00:05:18.920Z</dcterms:modified>
</cp:coreProperties>
</file>

<file path=docProps/custom.xml><?xml version="1.0" encoding="utf-8"?>
<Properties xmlns="http://schemas.openxmlformats.org/officeDocument/2006/custom-properties" xmlns:vt="http://schemas.openxmlformats.org/officeDocument/2006/docPropsVTypes"/>
</file>