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rPr>
      </w:pPr>
      <w:r>
        <w:rPr>
          <w:rFonts w:hint="default" w:ascii="Times New Roman" w:hAnsi="Times New Roman" w:cs="Times New Roman"/>
          <w:sz w:val="24"/>
          <w:szCs w:val="24"/>
        </w:rPr>
        <w:br w:type="textWrapping"/>
      </w:r>
      <w:r>
        <w:rPr>
          <w:rFonts w:hint="default" w:ascii="Times New Roman" w:hAnsi="Times New Roman" w:cs="Times New Roman"/>
          <w:b/>
          <w:bCs/>
          <w:sz w:val="24"/>
          <w:szCs w:val="24"/>
        </w:rPr>
        <w:t>Enhancing Academic Accessibility through Exploring Learning Styles and Modes</w:t>
      </w:r>
    </w:p>
    <w:p>
      <w:pPr>
        <w:rPr>
          <w:rFonts w:hint="default" w:ascii="Times New Roman" w:hAnsi="Times New Roman" w:cs="Times New Roman"/>
          <w:b/>
          <w:bCs/>
          <w:sz w:val="24"/>
          <w:szCs w:val="24"/>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Introduction</w:t>
      </w:r>
    </w:p>
    <w:p>
      <w:pPr>
        <w:rPr>
          <w:rFonts w:hint="default" w:ascii="Times New Roman" w:hAnsi="Times New Roman" w:cs="Times New Roman"/>
          <w:sz w:val="24"/>
          <w:szCs w:val="24"/>
        </w:rPr>
      </w:pPr>
      <w:r>
        <w:rPr>
          <w:rFonts w:hint="default" w:ascii="Times New Roman" w:hAnsi="Times New Roman" w:cs="Times New Roman"/>
          <w:sz w:val="24"/>
          <w:szCs w:val="24"/>
        </w:rPr>
        <w:t>In today's rapidly evolving higher education landscape, fostering an environment that promotes academic accessibility and engagement is essential to facilitate student success. Recognizing the diverse needs and preferences of learners, the LSBU Business School endeavors to enhance academic accessibility through an exploration of learning styles and modes. This report aims to delve deeply into this exploration, seeking to understand the intricacies of various learning preferences and leveraging innovative educational methodologies to create an inclusive and enriching learning environment.</w:t>
      </w:r>
    </w:p>
    <w:p>
      <w:pPr>
        <w:pStyle w:val="4"/>
        <w:bidi w:val="0"/>
        <w:rPr>
          <w:rFonts w:hint="default" w:ascii="Times New Roman" w:hAnsi="Times New Roman" w:cs="Times New Roman"/>
          <w:sz w:val="24"/>
          <w:szCs w:val="24"/>
        </w:rPr>
      </w:pPr>
      <w:r>
        <w:rPr>
          <w:rFonts w:hint="default" w:ascii="Times New Roman" w:hAnsi="Times New Roman" w:cs="Times New Roman"/>
          <w:sz w:val="24"/>
          <w:szCs w:val="24"/>
        </w:rPr>
        <w:t>By comprehensively understanding the nuances of diverse learning preferences, the LSBU Business School aims to tailor its educational approaches to meet the needs of its diverse student body effectively. Through this initiative, the institution seeks to optimize the learning experience, ensuring that every student can thrive academically and achieve their full potential.</w:t>
      </w:r>
    </w:p>
    <w:p>
      <w:pPr>
        <w:pStyle w:val="4"/>
        <w:bidi w:val="0"/>
        <w:rPr>
          <w:rFonts w:hint="default" w:ascii="Times New Roman" w:hAnsi="Times New Roman" w:cs="Times New Roman"/>
          <w:sz w:val="24"/>
          <w:szCs w:val="24"/>
        </w:rPr>
      </w:pPr>
      <w:r>
        <w:rPr>
          <w:rFonts w:hint="default" w:ascii="Times New Roman" w:hAnsi="Times New Roman" w:cs="Times New Roman"/>
          <w:sz w:val="24"/>
          <w:szCs w:val="24"/>
        </w:rPr>
        <w:t>The objective of this report is not only to identify and understand different learning styles and modes but also to provide actionable insights and recommendations for the LSBU Business School to enhance academic accessibility. By embracing innovative educational methodologies and personalized learning strategies, the institution aspires to create an engaging and supportive learning environment that fosters student success and well-being.</w:t>
      </w:r>
    </w:p>
    <w:p>
      <w:pPr>
        <w:rPr>
          <w:rFonts w:hint="default" w:ascii="Times New Roman" w:hAnsi="Times New Roman" w:cs="Times New Roman"/>
          <w:b/>
          <w:bCs/>
          <w:sz w:val="24"/>
          <w:szCs w:val="24"/>
        </w:rPr>
      </w:pPr>
      <w:r>
        <w:rPr>
          <w:rFonts w:hint="default" w:ascii="Times New Roman" w:hAnsi="Times New Roman" w:cs="Times New Roman"/>
          <w:b/>
          <w:bCs/>
          <w:sz w:val="24"/>
          <w:szCs w:val="24"/>
        </w:rPr>
        <w:t>Literature Review</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literature review delves into recent trends and developments in higher education, emphasizing the importance of accommodating diverse learning styles and modes to meet the needs of today's heterogeneous student population. Extensive research indicates that students demonstrate varying preferences for learning modalities, including visual, auditory, and kinesthetic styles (Fleming, 2001). Additionally, with the emergence of online and hybrid learning environments, traditional teaching methods must be reassessed to ensure inclusivity and accessibility for all learners (Means et al., 2013).</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One of the key challenges in this domain lies in the necessity to personalize academic experiences to align with individual learning needs. This requires educators to adopt flexible teaching approaches that can adapt to the diverse learning preferences of students. Moreover, addressing accessibility barriers is paramount to ensure that all students, regardless of their abilities, can fully participate in the learning process. By leveraging technologies such as blockchain, artificial intelligence (AI), and gamification, educators can create innovative learning ecosystems that accommodate diverse learning styles and preferences (Cheung et al., 2017).</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Overall, the literature review highlights the importance of embracing diversity in learning preferences and leveraging technology to create inclusive and accessible learning environments. By understanding and adapting to the needs of diverse learners, educators can enhance the effectiveness and inclusivity of higher education, ultimately leading to improved student outcomes and academic success.</w:t>
      </w:r>
    </w:p>
    <w:p>
      <w:pPr>
        <w:rPr>
          <w:rFonts w:hint="default" w:ascii="Times New Roman" w:hAnsi="Times New Roman" w:cs="Times New Roman"/>
          <w:b/>
          <w:bCs/>
          <w:sz w:val="24"/>
          <w:szCs w:val="24"/>
        </w:rPr>
      </w:pPr>
      <w:r>
        <w:rPr>
          <w:rFonts w:hint="default" w:ascii="Times New Roman" w:hAnsi="Times New Roman" w:cs="Times New Roman"/>
          <w:b/>
          <w:bCs/>
          <w:sz w:val="24"/>
          <w:szCs w:val="24"/>
        </w:rPr>
        <w:t>Methodology</w:t>
      </w:r>
    </w:p>
    <w:p>
      <w:pPr>
        <w:rPr>
          <w:rFonts w:hint="default" w:ascii="Times New Roman" w:hAnsi="Times New Roman" w:cs="Times New Roman"/>
          <w:sz w:val="24"/>
          <w:szCs w:val="24"/>
        </w:rPr>
      </w:pPr>
      <w:r>
        <w:rPr>
          <w:rFonts w:hint="default" w:ascii="Times New Roman" w:hAnsi="Times New Roman" w:cs="Times New Roman"/>
          <w:b/>
          <w:bCs/>
          <w:sz w:val="24"/>
          <w:szCs w:val="24"/>
        </w:rPr>
        <w:t>Topic Selection:</w:t>
      </w:r>
      <w:r>
        <w:rPr>
          <w:rFonts w:hint="default" w:ascii="Times New Roman" w:hAnsi="Times New Roman" w:cs="Times New Roman"/>
          <w:sz w:val="24"/>
          <w:szCs w:val="24"/>
        </w:rPr>
        <w:t xml:space="preserve"> The research focused on understanding various learning styles and modes to enhance academic accessibility at LSBU Business School, recognizing the importance of accommodating diverse learning preferences.</w:t>
      </w:r>
    </w:p>
    <w:p>
      <w:pPr>
        <w:rPr>
          <w:rFonts w:hint="default" w:ascii="Times New Roman" w:hAnsi="Times New Roman" w:cs="Times New Roman"/>
          <w:sz w:val="24"/>
          <w:szCs w:val="24"/>
        </w:rPr>
      </w:pPr>
      <w:r>
        <w:rPr>
          <w:rFonts w:hint="default" w:ascii="Times New Roman" w:hAnsi="Times New Roman" w:cs="Times New Roman"/>
          <w:b/>
          <w:bCs/>
          <w:sz w:val="24"/>
          <w:szCs w:val="24"/>
        </w:rPr>
        <w:t>Literature Review:</w:t>
      </w:r>
      <w:r>
        <w:rPr>
          <w:rFonts w:hint="default" w:ascii="Times New Roman" w:hAnsi="Times New Roman" w:cs="Times New Roman"/>
          <w:sz w:val="24"/>
          <w:szCs w:val="24"/>
        </w:rPr>
        <w:t xml:space="preserve"> Extensive review of academic literature explored topics such as learning modalities, technology's impact on education, and strategies for academic accessibility.</w:t>
      </w:r>
    </w:p>
    <w:p>
      <w:pPr>
        <w:rPr>
          <w:rFonts w:hint="default" w:ascii="Times New Roman" w:hAnsi="Times New Roman" w:cs="Times New Roman"/>
          <w:sz w:val="24"/>
          <w:szCs w:val="24"/>
        </w:rPr>
      </w:pPr>
      <w:r>
        <w:rPr>
          <w:rFonts w:hint="default" w:ascii="Times New Roman" w:hAnsi="Times New Roman" w:cs="Times New Roman"/>
          <w:b/>
          <w:bCs/>
          <w:sz w:val="24"/>
          <w:szCs w:val="24"/>
        </w:rPr>
        <w:t>Survey Design:</w:t>
      </w:r>
      <w:r>
        <w:rPr>
          <w:rFonts w:hint="default" w:ascii="Times New Roman" w:hAnsi="Times New Roman" w:cs="Times New Roman"/>
          <w:sz w:val="24"/>
          <w:szCs w:val="24"/>
        </w:rPr>
        <w:t xml:space="preserve"> A survey was crafted to gather data on student perceptions of learning styles, awareness of hybrid study systems, feedback preferences, and resource utilization.</w:t>
      </w:r>
    </w:p>
    <w:p>
      <w:pPr>
        <w:rPr>
          <w:rFonts w:hint="default" w:ascii="Times New Roman" w:hAnsi="Times New Roman" w:cs="Times New Roman"/>
          <w:sz w:val="24"/>
          <w:szCs w:val="24"/>
        </w:rPr>
      </w:pPr>
      <w:r>
        <w:rPr>
          <w:rFonts w:hint="default" w:ascii="Times New Roman" w:hAnsi="Times New Roman" w:cs="Times New Roman"/>
          <w:b/>
          <w:bCs/>
          <w:sz w:val="24"/>
          <w:szCs w:val="24"/>
        </w:rPr>
        <w:t>Data Collection:</w:t>
      </w:r>
      <w:r>
        <w:rPr>
          <w:rFonts w:hint="default" w:ascii="Times New Roman" w:hAnsi="Times New Roman" w:cs="Times New Roman"/>
          <w:sz w:val="24"/>
          <w:szCs w:val="24"/>
        </w:rPr>
        <w:t xml:space="preserve"> The survey was distributed to LSBU Business School students to collect voluntary responses, ensuring confidentiality and anonymity. Collected data formed the basis for analysis and findings.</w:t>
      </w:r>
    </w:p>
    <w:p>
      <w:pPr>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cs="Times New Roman"/>
          <w:b/>
          <w:bCs/>
          <w:sz w:val="24"/>
          <w:szCs w:val="24"/>
        </w:rPr>
        <w:t>Data Analysis:</w:t>
      </w:r>
      <w:r>
        <w:rPr>
          <w:rFonts w:hint="default" w:ascii="Times New Roman" w:hAnsi="Times New Roman" w:cs="Times New Roman"/>
          <w:sz w:val="24"/>
          <w:szCs w:val="24"/>
        </w:rPr>
        <w:t xml:space="preserve"> </w:t>
      </w:r>
      <w:r>
        <w:rPr>
          <w:rFonts w:hint="default" w:ascii="Times New Roman" w:hAnsi="Times New Roman" w:eastAsia="Segoe UI" w:cs="Times New Roman"/>
          <w:i w:val="0"/>
          <w:iCs w:val="0"/>
          <w:caps w:val="0"/>
          <w:color w:val="0D0D0D"/>
          <w:spacing w:val="0"/>
          <w:sz w:val="24"/>
          <w:szCs w:val="24"/>
          <w:shd w:val="clear" w:fill="FFFFFF"/>
        </w:rPr>
        <w:t>The collected data underwent thorough analysis using MS Excel to extract meaningful insights, including patterns, trends, and correlations among variables. This analysis provided valuable information to understand the preferences and perceptions of students regarding learning styles and modes.</w:t>
      </w:r>
    </w:p>
    <w:p>
      <w:pPr>
        <w:rPr>
          <w:rFonts w:hint="default" w:ascii="Times New Roman" w:hAnsi="Times New Roman" w:eastAsia="Segoe UI" w:cs="Times New Roman"/>
          <w:i w:val="0"/>
          <w:iCs w:val="0"/>
          <w:caps w:val="0"/>
          <w:color w:val="0D0D0D"/>
          <w:spacing w:val="0"/>
          <w:sz w:val="24"/>
          <w:szCs w:val="24"/>
          <w:shd w:val="clear" w:fill="FFFFFF"/>
        </w:rPr>
      </w:pPr>
    </w:p>
    <w:p>
      <w:pPr>
        <w:bidi w:val="0"/>
        <w:rPr>
          <w:rFonts w:hint="default" w:ascii="Times New Roman" w:hAnsi="Times New Roman" w:cs="Times New Roman"/>
          <w:sz w:val="24"/>
          <w:szCs w:val="24"/>
        </w:rPr>
      </w:pPr>
      <w:r>
        <w:rPr>
          <w:rFonts w:hint="default" w:ascii="Times New Roman" w:hAnsi="Times New Roman" w:cs="Times New Roman"/>
          <w:b/>
          <w:bCs/>
          <w:sz w:val="24"/>
          <w:szCs w:val="24"/>
        </w:rPr>
        <w:t xml:space="preserve">Recommendations: </w:t>
      </w:r>
      <w:r>
        <w:rPr>
          <w:rFonts w:hint="default" w:ascii="Times New Roman" w:hAnsi="Times New Roman" w:cs="Times New Roman"/>
          <w:sz w:val="24"/>
          <w:szCs w:val="24"/>
        </w:rPr>
        <w:t xml:space="preserve">Based on the survey findings, actionable recommendations were </w:t>
      </w:r>
      <w:bookmarkStart w:id="0" w:name="_GoBack"/>
      <w:bookmarkEnd w:id="0"/>
      <w:r>
        <w:rPr>
          <w:rFonts w:hint="default" w:ascii="Times New Roman" w:hAnsi="Times New Roman" w:cs="Times New Roman"/>
          <w:sz w:val="24"/>
          <w:szCs w:val="24"/>
        </w:rPr>
        <w:t>formulated to enhance academic accessibility at LSBU Business School. These recommendations aim to address identified challenges and improve the learning experience for all students, irrespective of their backgrounds or learning preferences.</w:t>
      </w:r>
    </w:p>
    <w:p>
      <w:pPr>
        <w:bidi w:val="0"/>
        <w:rPr>
          <w:rFonts w:hint="default" w:ascii="Times New Roman" w:hAnsi="Times New Roman" w:cs="Times New Roman"/>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Results</w:t>
      </w:r>
    </w:p>
    <w:p>
      <w:pPr>
        <w:rPr>
          <w:rFonts w:hint="default" w:ascii="Times New Roman" w:hAnsi="Times New Roman" w:cs="Times New Roman"/>
          <w:b/>
          <w:bCs/>
          <w:sz w:val="24"/>
          <w:szCs w:val="24"/>
        </w:rPr>
      </w:pPr>
      <w:r>
        <w:rPr>
          <w:rFonts w:hint="default" w:ascii="Times New Roman" w:hAnsi="Times New Roman" w:cs="Times New Roman"/>
          <w:b/>
          <w:bCs/>
          <w:sz w:val="24"/>
          <w:szCs w:val="24"/>
        </w:rPr>
        <w:t>Demographic Analysis</w:t>
      </w:r>
    </w:p>
    <w:p>
      <w:pPr>
        <w:rPr>
          <w:rFonts w:hint="default" w:ascii="Times New Roman" w:hAnsi="Times New Roman" w:cs="Times New Roman"/>
          <w:sz w:val="24"/>
          <w:szCs w:val="24"/>
        </w:rPr>
      </w:pPr>
      <w:r>
        <w:rPr>
          <w:rFonts w:hint="default" w:ascii="Times New Roman" w:hAnsi="Times New Roman" w:cs="Times New Roman"/>
          <w:b/>
          <w:bCs/>
          <w:sz w:val="24"/>
          <w:szCs w:val="24"/>
        </w:rPr>
        <w:t xml:space="preserve">International Students: </w:t>
      </w:r>
      <w:r>
        <w:rPr>
          <w:rFonts w:hint="default" w:ascii="Times New Roman" w:hAnsi="Times New Roman" w:cs="Times New Roman"/>
          <w:sz w:val="24"/>
          <w:szCs w:val="24"/>
        </w:rPr>
        <w:t>35% of respondents were international students, indicating a diverse student population.</w:t>
      </w:r>
    </w:p>
    <w:p>
      <w:pPr>
        <w:rPr>
          <w:rFonts w:hint="default" w:ascii="Times New Roman" w:hAnsi="Times New Roman" w:cs="Times New Roman"/>
          <w:sz w:val="24"/>
          <w:szCs w:val="24"/>
        </w:rPr>
      </w:pPr>
      <w:r>
        <w:rPr>
          <w:rFonts w:hint="default" w:ascii="Times New Roman" w:hAnsi="Times New Roman" w:cs="Times New Roman"/>
          <w:b/>
          <w:bCs/>
          <w:sz w:val="24"/>
          <w:szCs w:val="24"/>
        </w:rPr>
        <w:t>Gender Distribution:</w:t>
      </w:r>
      <w:r>
        <w:rPr>
          <w:rFonts w:hint="default" w:ascii="Times New Roman" w:hAnsi="Times New Roman" w:cs="Times New Roman"/>
          <w:sz w:val="24"/>
          <w:szCs w:val="24"/>
        </w:rPr>
        <w:t xml:space="preserve"> The gender distribution was balanced, with 45% male and 55% female respondents.</w:t>
      </w:r>
    </w:p>
    <w:p>
      <w:pPr>
        <w:rPr>
          <w:rFonts w:hint="default" w:ascii="Times New Roman" w:hAnsi="Times New Roman" w:cs="Times New Roman"/>
          <w:sz w:val="24"/>
          <w:szCs w:val="24"/>
        </w:rPr>
      </w:pPr>
      <w:r>
        <w:rPr>
          <w:rFonts w:hint="default" w:ascii="Times New Roman" w:hAnsi="Times New Roman" w:cs="Times New Roman"/>
          <w:b/>
          <w:bCs/>
          <w:sz w:val="24"/>
          <w:szCs w:val="24"/>
        </w:rPr>
        <w:t xml:space="preserve">Age Group Distribution: </w:t>
      </w:r>
      <w:r>
        <w:rPr>
          <w:rFonts w:hint="default" w:ascii="Times New Roman" w:hAnsi="Times New Roman" w:cs="Times New Roman"/>
          <w:sz w:val="24"/>
          <w:szCs w:val="24"/>
        </w:rPr>
        <w:t>The 18-24 age group predominated, with significant representation across other age brackets.</w:t>
      </w:r>
    </w:p>
    <w:p>
      <w:pPr>
        <w:rPr>
          <w:rFonts w:hint="default" w:ascii="Times New Roman" w:hAnsi="Times New Roman" w:cs="Times New Roman"/>
          <w:sz w:val="24"/>
          <w:szCs w:val="24"/>
        </w:rPr>
      </w:pPr>
      <w:r>
        <w:rPr>
          <w:rFonts w:hint="default" w:ascii="Times New Roman" w:hAnsi="Times New Roman" w:cs="Times New Roman"/>
          <w:b/>
          <w:bCs/>
          <w:sz w:val="24"/>
          <w:szCs w:val="24"/>
        </w:rPr>
        <w:t xml:space="preserve">Disability: </w:t>
      </w:r>
      <w:r>
        <w:rPr>
          <w:rFonts w:hint="default" w:ascii="Times New Roman" w:hAnsi="Times New Roman" w:cs="Times New Roman"/>
          <w:sz w:val="24"/>
          <w:szCs w:val="24"/>
        </w:rPr>
        <w:t>15% of respondents reported having a disability, underscoring the importance of accessibility considerations.</w:t>
      </w:r>
      <w:r>
        <w:rPr>
          <w:rFonts w:hint="default" w:ascii="Times New Roman" w:hAnsi="Times New Roman" w:cs="Times New Roman"/>
          <w:sz w:val="24"/>
          <w:szCs w:val="24"/>
        </w:rPr>
        <w:drawing>
          <wp:inline distT="0" distB="0" distL="114300" distR="114300">
            <wp:extent cx="4572000" cy="2743200"/>
            <wp:effectExtent l="4445" t="4445" r="14605" b="14605"/>
            <wp:docPr id="15"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rPr>
          <w:rFonts w:hint="default" w:ascii="Times New Roman" w:hAnsi="Times New Roman" w:cs="Times New Roman"/>
          <w:b/>
          <w:bCs/>
          <w:sz w:val="24"/>
          <w:szCs w:val="24"/>
        </w:rPr>
      </w:pPr>
      <w:r>
        <w:rPr>
          <w:rFonts w:hint="default" w:ascii="Times New Roman" w:hAnsi="Times New Roman" w:cs="Times New Roman"/>
          <w:b/>
          <w:bCs/>
          <w:sz w:val="24"/>
          <w:szCs w:val="24"/>
        </w:rPr>
        <w:t>Resource Preference Analysis</w:t>
      </w:r>
    </w:p>
    <w:p>
      <w:pPr>
        <w:rPr>
          <w:rFonts w:hint="default" w:ascii="Times New Roman" w:hAnsi="Times New Roman" w:cs="Times New Roman"/>
          <w:sz w:val="24"/>
          <w:szCs w:val="24"/>
        </w:rPr>
      </w:pPr>
      <w:r>
        <w:rPr>
          <w:rFonts w:hint="default" w:ascii="Times New Roman" w:hAnsi="Times New Roman" w:cs="Times New Roman"/>
          <w:b/>
          <w:bCs/>
          <w:sz w:val="24"/>
          <w:szCs w:val="24"/>
        </w:rPr>
        <w:t>Primary Resources:</w:t>
      </w:r>
      <w:r>
        <w:rPr>
          <w:rFonts w:hint="default" w:ascii="Times New Roman" w:hAnsi="Times New Roman" w:cs="Times New Roman"/>
          <w:sz w:val="24"/>
          <w:szCs w:val="24"/>
        </w:rPr>
        <w:t xml:space="preserve"> 66% of respondents preferred primary resources.</w:t>
      </w:r>
    </w:p>
    <w:p>
      <w:pPr>
        <w:rPr>
          <w:rFonts w:hint="default" w:ascii="Times New Roman" w:hAnsi="Times New Roman" w:cs="Times New Roman"/>
          <w:sz w:val="24"/>
          <w:szCs w:val="24"/>
        </w:rPr>
      </w:pPr>
      <w:r>
        <w:rPr>
          <w:rFonts w:hint="default" w:ascii="Times New Roman" w:hAnsi="Times New Roman" w:cs="Times New Roman"/>
          <w:b/>
          <w:bCs/>
          <w:sz w:val="24"/>
          <w:szCs w:val="24"/>
        </w:rPr>
        <w:t>Secondary Resources:</w:t>
      </w:r>
      <w:r>
        <w:rPr>
          <w:rFonts w:hint="default" w:ascii="Times New Roman" w:hAnsi="Times New Roman" w:cs="Times New Roman"/>
          <w:sz w:val="24"/>
          <w:szCs w:val="24"/>
        </w:rPr>
        <w:t xml:space="preserve"> 34% of respondents favored secondary resources.</w:t>
      </w:r>
      <w:r>
        <w:rPr>
          <w:rFonts w:hint="default" w:ascii="Times New Roman" w:hAnsi="Times New Roman" w:cs="Times New Roman"/>
          <w:sz w:val="24"/>
          <w:szCs w:val="24"/>
        </w:rPr>
        <w:drawing>
          <wp:inline distT="0" distB="0" distL="114300" distR="114300">
            <wp:extent cx="4438650" cy="2600960"/>
            <wp:effectExtent l="4445" t="4445" r="14605" b="23495"/>
            <wp:docPr id="10"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rPr>
          <w:rFonts w:hint="default" w:ascii="Times New Roman" w:hAnsi="Times New Roman" w:cs="Times New Roman"/>
          <w:b/>
          <w:bCs/>
          <w:sz w:val="24"/>
          <w:szCs w:val="24"/>
        </w:rPr>
      </w:pPr>
      <w:r>
        <w:rPr>
          <w:rFonts w:hint="default" w:ascii="Times New Roman" w:hAnsi="Times New Roman" w:cs="Times New Roman"/>
          <w:b/>
          <w:bCs/>
          <w:sz w:val="24"/>
          <w:szCs w:val="24"/>
        </w:rPr>
        <w:t>Visual Learning Analysis</w:t>
      </w:r>
    </w:p>
    <w:p>
      <w:pPr>
        <w:rPr>
          <w:rFonts w:hint="default" w:ascii="Times New Roman" w:hAnsi="Times New Roman" w:cs="Times New Roman"/>
          <w:sz w:val="24"/>
          <w:szCs w:val="24"/>
        </w:rPr>
      </w:pPr>
      <w:r>
        <w:rPr>
          <w:rFonts w:hint="default" w:ascii="Times New Roman" w:hAnsi="Times New Roman" w:cs="Times New Roman"/>
          <w:sz w:val="24"/>
          <w:szCs w:val="24"/>
        </w:rPr>
        <w:t>Interaction: On average, students rated the interaction in visual learning as 4.08 out of 10.</w:t>
      </w:r>
    </w:p>
    <w:p>
      <w:pPr>
        <w:rPr>
          <w:rFonts w:hint="default" w:ascii="Times New Roman" w:hAnsi="Times New Roman" w:cs="Times New Roman"/>
          <w:sz w:val="24"/>
          <w:szCs w:val="24"/>
        </w:rPr>
      </w:pPr>
      <w:r>
        <w:rPr>
          <w:rFonts w:hint="default" w:ascii="Times New Roman" w:hAnsi="Times New Roman" w:cs="Times New Roman"/>
          <w:b/>
          <w:bCs/>
          <w:sz w:val="24"/>
          <w:szCs w:val="24"/>
        </w:rPr>
        <w:t xml:space="preserve">Effectiveness: </w:t>
      </w:r>
      <w:r>
        <w:rPr>
          <w:rFonts w:hint="default" w:ascii="Times New Roman" w:hAnsi="Times New Roman" w:cs="Times New Roman"/>
          <w:sz w:val="24"/>
          <w:szCs w:val="24"/>
        </w:rPr>
        <w:t>The effectiveness of visual learning was rated at 8.40 out of 10 on average.</w:t>
      </w:r>
    </w:p>
    <w:p>
      <w:pPr>
        <w:rPr>
          <w:rFonts w:hint="default" w:ascii="Times New Roman" w:hAnsi="Times New Roman" w:cs="Times New Roman"/>
          <w:sz w:val="24"/>
          <w:szCs w:val="24"/>
        </w:rPr>
      </w:pPr>
      <w:r>
        <w:rPr>
          <w:rFonts w:hint="default" w:ascii="Times New Roman" w:hAnsi="Times New Roman" w:cs="Times New Roman"/>
          <w:sz w:val="24"/>
          <w:szCs w:val="24"/>
        </w:rPr>
        <w:t>Feedback Analysis</w:t>
      </w:r>
    </w:p>
    <w:p>
      <w:pPr>
        <w:rPr>
          <w:rFonts w:hint="default" w:ascii="Times New Roman" w:hAnsi="Times New Roman" w:cs="Times New Roman"/>
          <w:sz w:val="24"/>
          <w:szCs w:val="24"/>
        </w:rPr>
      </w:pPr>
      <w:r>
        <w:rPr>
          <w:rFonts w:hint="default" w:ascii="Times New Roman" w:hAnsi="Times New Roman" w:cs="Times New Roman"/>
          <w:b/>
          <w:bCs/>
          <w:sz w:val="24"/>
          <w:szCs w:val="24"/>
        </w:rPr>
        <w:t xml:space="preserve">Helpfulness: </w:t>
      </w:r>
      <w:r>
        <w:rPr>
          <w:rFonts w:hint="default" w:ascii="Times New Roman" w:hAnsi="Times New Roman" w:cs="Times New Roman"/>
          <w:sz w:val="24"/>
          <w:szCs w:val="24"/>
        </w:rPr>
        <w:t>On average, students rated the helpfulness of feedback as 7.98 out of 10.</w:t>
      </w:r>
      <w:r>
        <w:rPr>
          <w:rFonts w:hint="default" w:ascii="Times New Roman" w:hAnsi="Times New Roman" w:cs="Times New Roman"/>
          <w:sz w:val="24"/>
          <w:szCs w:val="24"/>
        </w:rPr>
        <w:drawing>
          <wp:inline distT="0" distB="0" distL="114300" distR="114300">
            <wp:extent cx="4572000" cy="2743200"/>
            <wp:effectExtent l="4445" t="4445" r="14605" b="14605"/>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rPr>
          <w:rFonts w:hint="default" w:ascii="Times New Roman" w:hAnsi="Times New Roman" w:cs="Times New Roman"/>
          <w:b/>
          <w:bCs/>
          <w:sz w:val="24"/>
          <w:szCs w:val="24"/>
        </w:rPr>
      </w:pPr>
      <w:r>
        <w:rPr>
          <w:rFonts w:hint="default" w:ascii="Times New Roman" w:hAnsi="Times New Roman" w:cs="Times New Roman"/>
          <w:b/>
          <w:bCs/>
          <w:sz w:val="24"/>
          <w:szCs w:val="24"/>
        </w:rPr>
        <w:t>Discussion</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results of the survey provide valuable insights into the diverse learning preferences and needs of students at LSBU Business School.</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Firstly, the demographic analysis reveals a diverse student population, with 35% of respondents being international students. This diversity underscores the importance of catering to the unique needs and backgrounds of students from various cultural and linguistic backgrounds. Additionally, the balanced gender distribution suggests an inclusive learning environment where both male and female students are represented fairly.</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Furthermore, the age group distribution indicates a predominance of students in the 18-24 age bracket, which aligns with typical demographics in higher education institutions. However, significant representation across other age groups highlights the importance of catering to learners of different life stages and experiences.</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survey also sheds light on the prevalence of disabilities among respondents, with 15% reporting having a disability. This underscores the necessity of considering accessibility and inclusivity in educational practices and resources to ensure that all students have equal opportunities to succeed.</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terms of resource preferences, the majority of respondents (66%) favored primary resources, indicating a preference for direct and original learning materials. However, it is essential to acknowledge the 34% of students who preferred secondary resources, suggesting a need for a diverse range of learning materials to accommodate different learning styles and preferences.</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visual learning analysis reveals valuable insights into the perceived effectiveness of visual learning modalities. While students rated the interaction in visual learning relatively low (4.08 out of 10), they rated its effectiveness highly (8.40 out of 10). This suggests that while visual learning may not always facilitate high levels of interaction, it is highly effective in aiding comprehension and learning.</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Feedback analysis highlights the importance of timely and constructive feedback in the learning process. Students rated the helpfulness of feedback positively (7.98 out of 10), indicating its crucial role in guiding their learning progress. This underscores the importance of implementing robust feedback mechanisms to provide students with the support and guidance they need to succeed academically.</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Overall, the survey findings underscore the significance of understanding and accommodating diverse learning preferences and needs to enhance academic accessibility at LSBU Business School. By embracing innovative educational approaches and personalized learning strategies, the institution can create an inclusive and supportive learning environment that fosters student success and well-being.</w:t>
      </w:r>
    </w:p>
    <w:p>
      <w:pPr>
        <w:rPr>
          <w:rFonts w:hint="default" w:ascii="Times New Roman" w:hAnsi="Times New Roman" w:cs="Times New Roman"/>
          <w:b/>
          <w:bCs/>
          <w:sz w:val="24"/>
          <w:szCs w:val="24"/>
        </w:rPr>
      </w:pPr>
      <w:r>
        <w:rPr>
          <w:rFonts w:hint="default" w:ascii="Times New Roman" w:hAnsi="Times New Roman" w:cs="Times New Roman"/>
          <w:b/>
          <w:bCs/>
          <w:sz w:val="24"/>
          <w:szCs w:val="24"/>
        </w:rPr>
        <w:t>Recommendations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Based on the survey findings, the following recommendations are proposed to enhance academic accessibility at LSBU </w:t>
      </w:r>
      <w:r>
        <w:rPr>
          <w:rFonts w:hint="default" w:ascii="Times New Roman" w:hAnsi="Times New Roman" w:cs="Times New Roman"/>
          <w:b w:val="0"/>
          <w:bCs w:val="0"/>
          <w:sz w:val="24"/>
          <w:szCs w:val="24"/>
        </w:rPr>
        <w:t>Business School:</w:t>
      </w:r>
    </w:p>
    <w:p>
      <w:pPr>
        <w:pStyle w:val="4"/>
        <w:numPr>
          <w:ilvl w:val="0"/>
          <w:numId w:val="1"/>
        </w:numPr>
        <w:tabs>
          <w:tab w:val="clear" w:pos="425"/>
        </w:tabs>
        <w:bidi w:val="0"/>
        <w:ind w:left="425" w:leftChars="0" w:right="0" w:righ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lang w:val="en-US"/>
        </w:rPr>
        <w:t>I</w:t>
      </w:r>
      <w:r>
        <w:rPr>
          <w:rFonts w:hint="default" w:ascii="Times New Roman" w:hAnsi="Times New Roman" w:cs="Times New Roman"/>
          <w:b/>
          <w:bCs/>
          <w:sz w:val="24"/>
          <w:szCs w:val="24"/>
        </w:rPr>
        <w:t>mplement Personalized Learning Pathways:</w:t>
      </w:r>
      <w:r>
        <w:rPr>
          <w:rFonts w:hint="default" w:ascii="Times New Roman" w:hAnsi="Times New Roman" w:cs="Times New Roman"/>
          <w:sz w:val="24"/>
          <w:szCs w:val="24"/>
        </w:rPr>
        <w:t xml:space="preserve"> Recognizing the diverse learning preferences of students, it is essential to implement personalized learning pathways tailored to individual needs. This involves adopting flexible teaching approaches that accommodate various learning styles and preferences. Educators can leverage tools such as learning analytics to identify students' strengths, weaknesses, and preferences, allowing them to tailor instruction accordingly. By offering personalized learning experiences, LSBU Business School can better meet the needs of its diverse student body and enhance overall academic accessibility.</w:t>
      </w:r>
    </w:p>
    <w:p>
      <w:pPr>
        <w:pStyle w:val="4"/>
        <w:numPr>
          <w:ilvl w:val="0"/>
          <w:numId w:val="1"/>
        </w:numPr>
        <w:tabs>
          <w:tab w:val="clear" w:pos="425"/>
        </w:tabs>
        <w:bidi w:val="0"/>
        <w:ind w:left="425" w:leftChars="0" w:right="0" w:righ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Enhance Awareness of Hybrid Study Systems: </w:t>
      </w:r>
      <w:r>
        <w:rPr>
          <w:rFonts w:hint="default" w:ascii="Times New Roman" w:hAnsi="Times New Roman" w:cs="Times New Roman"/>
          <w:sz w:val="24"/>
          <w:szCs w:val="24"/>
        </w:rPr>
        <w:t>With the increasing prevalence of hybrid learning environments, it is crucial to enhance awareness and understanding of these systems among students and faculty. LSBU Business School should conduct targeted educational initiatives, workshops, and training programs to familiarize stakeholders with the benefits and challenges of hybrid learning. By promoting a deeper understanding of hybrid study systems, the institution can facilitate smoother transitions to blended learning models and ensure that all students can effectively engage with online and in-person components of their courses.</w:t>
      </w:r>
    </w:p>
    <w:p>
      <w:pPr>
        <w:pStyle w:val="4"/>
        <w:numPr>
          <w:ilvl w:val="0"/>
          <w:numId w:val="1"/>
        </w:numPr>
        <w:tabs>
          <w:tab w:val="clear" w:pos="425"/>
        </w:tabs>
        <w:bidi w:val="0"/>
        <w:ind w:left="425" w:leftChars="0" w:right="0" w:righ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Strengthen Feedback Mechanisms:</w:t>
      </w:r>
      <w:r>
        <w:rPr>
          <w:rFonts w:hint="default" w:ascii="Times New Roman" w:hAnsi="Times New Roman" w:cs="Times New Roman"/>
          <w:sz w:val="24"/>
          <w:szCs w:val="24"/>
        </w:rPr>
        <w:t xml:space="preserve"> Feedback plays a pivotal role in guiding student learning and fostering academic growth. LSBU Business School should strengthen feedback mechanisms to provide timely and constructive guidance to students. This involves implementing regular formative assessments, encouraging peer feedback, and ensuring that instructors provide detailed and actionable feedback on assignments and assessments. Additionally, the institution can leverage technology to streamline feedback processes, such as through online feedback tools or automated grading systems. By prioritizing effective feedback mechanisms, LSBU Business School can empower students to track their progress, identify areas for improvement, and achieve their academic goals more effectively.</w:t>
      </w:r>
    </w:p>
    <w:p>
      <w:pPr>
        <w:pStyle w:val="4"/>
        <w:numPr>
          <w:ilvl w:val="0"/>
          <w:numId w:val="1"/>
        </w:numPr>
        <w:tabs>
          <w:tab w:val="clear" w:pos="425"/>
        </w:tabs>
        <w:bidi w:val="0"/>
        <w:ind w:left="425" w:leftChars="0" w:right="0" w:righ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Invest in Technology-Enabled Learning Resources:</w:t>
      </w:r>
      <w:r>
        <w:rPr>
          <w:rFonts w:hint="default" w:ascii="Times New Roman" w:hAnsi="Times New Roman" w:cs="Times New Roman"/>
          <w:sz w:val="24"/>
          <w:szCs w:val="24"/>
        </w:rPr>
        <w:t xml:space="preserve"> In today's digital age, technology-enabled learning resources are essential for creating immersive and interactive learning environments. LSBU Business School should invest in state-of-the-art educational technologies, such as virtual reality (VR) simulations, interactive e-books, and online collaboration platforms. These resources can enhance student engagement, facilitate active learning, and provide students with opportunities to apply theoretical concepts in real-world contexts. By integrating technology into the learning experience, LSBU Business School can enrich the academic experience, expand access to educational resources, and promote academic accessibility for all students.</w:t>
      </w:r>
    </w:p>
    <w:p>
      <w:pPr>
        <w:rPr>
          <w:rFonts w:hint="default" w:ascii="Times New Roman" w:hAnsi="Times New Roman" w:cs="Times New Roman"/>
          <w:b/>
          <w:bCs/>
          <w:sz w:val="24"/>
          <w:szCs w:val="24"/>
        </w:rPr>
      </w:pPr>
      <w:r>
        <w:rPr>
          <w:rFonts w:hint="default" w:ascii="Times New Roman" w:hAnsi="Times New Roman" w:cs="Times New Roman"/>
          <w:b/>
          <w:bCs/>
          <w:sz w:val="24"/>
          <w:szCs w:val="24"/>
        </w:rPr>
        <w:t>Conclusion</w:t>
      </w:r>
    </w:p>
    <w:p>
      <w:pPr>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In conclusion, the findings from this exploration of learning styles and modes provide invaluable insights into enhancing academic accessibility and improving student outcomes at LSBU Business School. By embracing innovative approaches and personalized learning strategies, educators can create inclusive and engaging learning environments that cater to the diverse needs of students.</w:t>
      </w:r>
    </w:p>
    <w:p>
      <w:pPr>
        <w:rPr>
          <w:rFonts w:hint="default" w:ascii="Times New Roman" w:hAnsi="Times New Roman" w:cs="Times New Roman"/>
          <w:sz w:val="24"/>
          <w:szCs w:val="24"/>
        </w:rPr>
      </w:pPr>
      <w:r>
        <w:rPr>
          <w:rFonts w:hint="default" w:ascii="Times New Roman" w:hAnsi="Times New Roman" w:cs="Times New Roman"/>
          <w:sz w:val="24"/>
          <w:szCs w:val="24"/>
        </w:rPr>
        <w:t>The survey results underscore the importance of understanding and accommodating diverse learning preferences and needs. The prevalence of international students, balanced gender distribution, and representation across various age groups highlight the diverse student population at LSBU Business School. Additionally, the acknowledgment of disabilities among respondents emphasizes the importance of accessibility considerations in educational practices.</w:t>
      </w:r>
    </w:p>
    <w:p>
      <w:pPr>
        <w:rPr>
          <w:rFonts w:hint="default" w:ascii="Times New Roman" w:hAnsi="Times New Roman" w:cs="Times New Roman"/>
          <w:sz w:val="24"/>
          <w:szCs w:val="24"/>
        </w:rPr>
      </w:pPr>
      <w:r>
        <w:rPr>
          <w:rFonts w:hint="default" w:ascii="Times New Roman" w:hAnsi="Times New Roman" w:cs="Times New Roman"/>
          <w:sz w:val="24"/>
          <w:szCs w:val="24"/>
        </w:rPr>
        <w:t>Furthermore, the preference for primary resources among the majority of respondents, along with the recognition of the effectiveness of visual learning modalities, emphasizes the need for diverse and engaging learning materials. These findings suggest that incorporating a variety of resources and modalities into teaching practices can enhance student engagement and comprehension.</w:t>
      </w:r>
    </w:p>
    <w:p>
      <w:pPr>
        <w:rPr>
          <w:rFonts w:hint="default" w:ascii="Times New Roman" w:hAnsi="Times New Roman" w:cs="Times New Roman"/>
          <w:sz w:val="24"/>
          <w:szCs w:val="24"/>
        </w:rPr>
      </w:pPr>
      <w:r>
        <w:rPr>
          <w:rFonts w:hint="default" w:ascii="Times New Roman" w:hAnsi="Times New Roman" w:cs="Times New Roman"/>
          <w:sz w:val="24"/>
          <w:szCs w:val="24"/>
        </w:rPr>
        <w:t>The positive ratings for feedback helpfulness underscore the importance of providing timely and constructive feedback to students. Feedback mechanisms play a crucial role in guiding student learning progress and fostering a supportive learning environment.</w:t>
      </w:r>
    </w:p>
    <w:p>
      <w:pPr>
        <w:rPr>
          <w:rFonts w:hint="default" w:ascii="Times New Roman" w:hAnsi="Times New Roman" w:cs="Times New Roman"/>
          <w:sz w:val="24"/>
          <w:szCs w:val="24"/>
        </w:rPr>
      </w:pPr>
      <w:r>
        <w:rPr>
          <w:rFonts w:hint="default" w:ascii="Times New Roman" w:hAnsi="Times New Roman" w:cs="Times New Roman"/>
          <w:sz w:val="24"/>
          <w:szCs w:val="24"/>
        </w:rPr>
        <w:t>Overall, this report highlights the importance of adopting a student-centered approach to education that prioritizes inclusivity, engagement, and personalized learning. By leveraging the insights gained from this exploration, LSBU Business School can continue to enhance academic accessibility and improve student outcomes, ultimately fostering a culture of learning excellence and student success.</w:t>
      </w:r>
    </w:p>
    <w:p>
      <w:pPr>
        <w:rPr>
          <w:rFonts w:hint="default" w:ascii="Times New Roman" w:hAnsi="Times New Roman" w:cs="Times New Roman"/>
          <w:b/>
          <w:bCs/>
          <w:sz w:val="24"/>
          <w:szCs w:val="24"/>
        </w:rPr>
      </w:pPr>
      <w:r>
        <w:rPr>
          <w:rFonts w:hint="default" w:ascii="Times New Roman" w:hAnsi="Times New Roman" w:cs="Times New Roman"/>
          <w:sz w:val="24"/>
          <w:szCs w:val="24"/>
        </w:rPr>
        <w:br w:type="textWrapping"/>
      </w:r>
      <w:r>
        <w:rPr>
          <w:rFonts w:hint="default" w:ascii="Times New Roman" w:hAnsi="Times New Roman" w:cs="Times New Roman"/>
          <w:b/>
          <w:bCs/>
          <w:sz w:val="24"/>
          <w:szCs w:val="24"/>
        </w:rPr>
        <w:t>References</w:t>
      </w:r>
    </w:p>
    <w:p>
      <w:pPr>
        <w:rPr>
          <w:rFonts w:hint="default" w:ascii="Times New Roman" w:hAnsi="Times New Roman" w:cs="Times New Roman"/>
          <w:sz w:val="24"/>
          <w:szCs w:val="24"/>
        </w:rPr>
      </w:pPr>
      <w:r>
        <w:rPr>
          <w:rFonts w:hint="default" w:ascii="Times New Roman" w:hAnsi="Times New Roman" w:cs="Times New Roman"/>
          <w:sz w:val="24"/>
          <w:szCs w:val="24"/>
        </w:rPr>
        <w:t>Fleming, N. D. (2001). Teaching and learning styles: VARK strategies. Neil Fleming.</w:t>
      </w:r>
    </w:p>
    <w:p>
      <w:pPr>
        <w:rPr>
          <w:rFonts w:hint="default" w:ascii="Times New Roman" w:hAnsi="Times New Roman" w:cs="Times New Roman"/>
          <w:sz w:val="24"/>
          <w:szCs w:val="24"/>
        </w:rPr>
      </w:pPr>
      <w:r>
        <w:rPr>
          <w:rFonts w:hint="default" w:ascii="Times New Roman" w:hAnsi="Times New Roman" w:cs="Times New Roman"/>
          <w:sz w:val="24"/>
          <w:szCs w:val="24"/>
        </w:rPr>
        <w:t>Means, B., Toyama, Y., Murphy, R., Bakia, M., &amp; Jones, K. (2013). Evaluation of evidence-based practices in online learning: A meta-analysis and review of online learning studies. US Department of Education.</w:t>
      </w:r>
    </w:p>
    <w:p>
      <w:pPr>
        <w:rPr>
          <w:rFonts w:hint="default" w:ascii="Times New Roman" w:hAnsi="Times New Roman" w:cs="Times New Roman"/>
          <w:sz w:val="24"/>
          <w:szCs w:val="24"/>
        </w:rPr>
      </w:pPr>
      <w:r>
        <w:rPr>
          <w:rFonts w:hint="default" w:ascii="Times New Roman" w:hAnsi="Times New Roman" w:cs="Times New Roman"/>
          <w:sz w:val="24"/>
          <w:szCs w:val="24"/>
        </w:rPr>
        <w:t>Pellegrino, J. W., &amp; Hilton, M. L. (2012). Education for life and work: Developing transferable knowledge and skills in the 21st century. National Academies Press.</w:t>
      </w: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36D193"/>
    <w:multiLevelType w:val="singleLevel"/>
    <w:tmpl w:val="BC36D19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3922A0"/>
    <w:rsid w:val="103922A0"/>
    <w:rsid w:val="1B3D1BF2"/>
    <w:rsid w:val="6C7C1110"/>
    <w:rsid w:val="72FA24E9"/>
    <w:rsid w:val="77690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paragraph" w:styleId="6">
    <w:name w:val=""/>
    <w:basedOn w:val="1"/>
    <w:next w:val="1"/>
    <w:uiPriority w:val="0"/>
    <w:pPr>
      <w:pBdr>
        <w:bottom w:val="single" w:color="auto" w:sz="6" w:space="1"/>
      </w:pBdr>
      <w:jc w:val="center"/>
    </w:pPr>
    <w:rPr>
      <w:rFonts w:ascii="Arial" w:eastAsia="SimSun"/>
      <w:vanish/>
      <w:sz w:val="16"/>
    </w:rPr>
  </w:style>
  <w:style w:type="paragraph" w:styleId="7">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Ali\Downloads\visualization.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li\Downloads\visualization.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Ali\Downloads\visualiz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b" anchorCtr="0"/>
          <a:lstStyle/>
          <a:p>
            <a:pPr defTabSz="914400">
              <a:defRPr lang="en-US" sz="1400" b="0" i="0" u="none" strike="noStrike" kern="1200" spc="0" baseline="0">
                <a:solidFill>
                  <a:schemeClr val="tx1">
                    <a:lumMod val="65000"/>
                    <a:lumOff val="35000"/>
                  </a:schemeClr>
                </a:solidFill>
                <a:latin typeface="+mn-lt"/>
                <a:ea typeface="+mn-ea"/>
                <a:cs typeface="+mn-cs"/>
              </a:defRPr>
            </a:pPr>
            <a:r>
              <a:t>Demographic Analysis Avg</a:t>
            </a:r>
          </a:p>
          <a:p>
            <a:pPr defTabSz="914400">
              <a:defRPr lang="en-US" sz="1400" b="0" i="0" u="none" strike="noStrike" kern="1200" spc="0" baseline="0">
                <a:solidFill>
                  <a:schemeClr val="tx1">
                    <a:lumMod val="65000"/>
                    <a:lumOff val="35000"/>
                  </a:schemeClr>
                </a:solidFill>
                <a:latin typeface="+mn-lt"/>
                <a:ea typeface="+mn-ea"/>
                <a:cs typeface="+mn-cs"/>
              </a:defRPr>
            </a:pPr>
            <a:r>
              <a:t>1.International Student      2.GendeDistribution 3.AgeGroupDistribution      4.Disability</a:t>
            </a:r>
          </a:p>
        </c:rich>
      </c:tx>
      <c:layout/>
      <c:overlay val="0"/>
      <c:spPr>
        <a:noFill/>
        <a:ln>
          <a:noFill/>
        </a:ln>
        <a:effectLst/>
      </c:spPr>
    </c:title>
    <c:autoTitleDeleted val="0"/>
    <c:plotArea>
      <c:layout/>
      <c:barChart>
        <c:barDir val="col"/>
        <c:grouping val="stacked"/>
        <c:varyColors val="0"/>
        <c:ser>
          <c:idx val="0"/>
          <c:order val="0"/>
          <c:spPr>
            <a:solidFill>
              <a:schemeClr val="accent1"/>
            </a:solidFill>
            <a:ln>
              <a:noFill/>
            </a:ln>
            <a:effectLst/>
          </c:spPr>
          <c:invertIfNegative val="0"/>
          <c:dLbls>
            <c:delete val="1"/>
          </c:dLbls>
          <c:val>
            <c:numRef>
              <c:f>[Book1]Sheet1!$B$7:$E$7</c:f>
              <c:numCache>
                <c:formatCode>General</c:formatCode>
                <c:ptCount val="4"/>
                <c:pt idx="0">
                  <c:v>12</c:v>
                </c:pt>
                <c:pt idx="1">
                  <c:v>16.67</c:v>
                </c:pt>
                <c:pt idx="2">
                  <c:v>18.64</c:v>
                </c:pt>
                <c:pt idx="3">
                  <c:v>0.4333</c:v>
                </c:pt>
              </c:numCache>
            </c:numRef>
          </c:val>
        </c:ser>
        <c:dLbls>
          <c:showLegendKey val="0"/>
          <c:showVal val="0"/>
          <c:showCatName val="0"/>
          <c:showSerName val="0"/>
          <c:showPercent val="0"/>
          <c:showBubbleSize val="0"/>
        </c:dLbls>
        <c:gapWidth val="95"/>
        <c:overlap val="100"/>
        <c:axId val="138203619"/>
        <c:axId val="600658466"/>
      </c:barChart>
      <c:catAx>
        <c:axId val="13820361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00658466"/>
        <c:crosses val="autoZero"/>
        <c:auto val="1"/>
        <c:lblAlgn val="ctr"/>
        <c:lblOffset val="100"/>
        <c:noMultiLvlLbl val="0"/>
      </c:catAx>
      <c:valAx>
        <c:axId val="60065846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3820361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Resources </a:t>
            </a:r>
          </a:p>
          <a:p>
            <a:pPr defTabSz="914400">
              <a:defRPr lang="en-US" sz="1400" b="0" i="0" u="none" strike="noStrike" kern="1200" spc="0" baseline="0">
                <a:solidFill>
                  <a:schemeClr val="tx1">
                    <a:lumMod val="65000"/>
                    <a:lumOff val="35000"/>
                  </a:schemeClr>
                </a:solidFill>
                <a:latin typeface="+mn-lt"/>
                <a:ea typeface="+mn-ea"/>
                <a:cs typeface="+mn-cs"/>
              </a:defRPr>
            </a:pPr>
          </a:p>
        </c:rich>
      </c:tx>
      <c:layout>
        <c:manualLayout>
          <c:xMode val="edge"/>
          <c:yMode val="edge"/>
          <c:x val="0.408055555555556"/>
          <c:y val="0.0277777777777778"/>
        </c:manualLayout>
      </c:layout>
      <c:overlay val="0"/>
      <c:spPr>
        <a:noFill/>
        <a:ln>
          <a:noFill/>
        </a:ln>
        <a:effectLst/>
      </c:spPr>
    </c:title>
    <c:autoTitleDeleted val="0"/>
    <c:plotArea>
      <c:layout>
        <c:manualLayout>
          <c:layoutTarget val="inner"/>
          <c:xMode val="edge"/>
          <c:yMode val="edge"/>
          <c:x val="0.0398055555555556"/>
          <c:y val="0.258333333333333"/>
          <c:w val="0.914986111111111"/>
          <c:h val="0.633194444444445"/>
        </c:manualLayout>
      </c:layout>
      <c:barChart>
        <c:barDir val="bar"/>
        <c:grouping val="clustered"/>
        <c:varyColors val="0"/>
        <c:ser>
          <c:idx val="0"/>
          <c:order val="0"/>
          <c:spPr>
            <a:solidFill>
              <a:schemeClr val="accent1"/>
            </a:solidFill>
            <a:ln>
              <a:noFill/>
            </a:ln>
            <a:effectLst/>
          </c:spPr>
          <c:invertIfNegative val="0"/>
          <c:dLbls>
            <c:delete val="1"/>
          </c:dLbls>
          <c:val>
            <c:numRef>
              <c:f>[Book1]Sheet1!$I$6:$I$7</c:f>
              <c:numCache>
                <c:formatCode>0%</c:formatCode>
                <c:ptCount val="2"/>
                <c:pt idx="0">
                  <c:v>0.66</c:v>
                </c:pt>
                <c:pt idx="1">
                  <c:v>0.34</c:v>
                </c:pt>
              </c:numCache>
            </c:numRef>
          </c:val>
        </c:ser>
        <c:dLbls>
          <c:showLegendKey val="0"/>
          <c:showVal val="0"/>
          <c:showCatName val="0"/>
          <c:showSerName val="0"/>
          <c:showPercent val="0"/>
          <c:showBubbleSize val="0"/>
        </c:dLbls>
        <c:gapWidth val="182"/>
        <c:overlap val="0"/>
        <c:axId val="866634847"/>
        <c:axId val="133786962"/>
      </c:barChart>
      <c:catAx>
        <c:axId val="866634847"/>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33786962"/>
        <c:crosses val="autoZero"/>
        <c:auto val="1"/>
        <c:lblAlgn val="ctr"/>
        <c:lblOffset val="100"/>
        <c:noMultiLvlLbl val="0"/>
      </c:catAx>
      <c:valAx>
        <c:axId val="13378696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666348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[visualization.xlsx]Sheet1!$A$13</c:f>
              <c:strCache>
                <c:ptCount val="1"/>
                <c:pt idx="0">
                  <c:v>Avg</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[Book1]Sheet1!$B$11:$D$12</c:f>
              <c:multiLvlStrCache>
                <c:ptCount val="3"/>
                <c:lvl>
                  <c:pt idx="0">
                    <c:v> interact with each other</c:v>
                  </c:pt>
                  <c:pt idx="1">
                    <c:v> helpful </c:v>
                  </c:pt>
                </c:lvl>
                <c:lvl>
                  <c:pt idx="0">
                    <c:v> Visual Learning Analysis</c:v>
                  </c:pt>
                  <c:pt idx="2">
                    <c:v>Feed back analysis</c:v>
                  </c:pt>
                </c:lvl>
              </c:multiLvlStrCache>
            </c:multiLvlStrRef>
          </c:cat>
          <c:val>
            <c:numRef>
              <c:f>[Book1]Sheet1!$B$13:$D$13</c:f>
              <c:numCache>
                <c:formatCode>General</c:formatCode>
                <c:ptCount val="3"/>
                <c:pt idx="0">
                  <c:v>4.08</c:v>
                </c:pt>
                <c:pt idx="1">
                  <c:v>8.39583333333333</c:v>
                </c:pt>
                <c:pt idx="2">
                  <c:v>7.97959183673469</c:v>
                </c:pt>
              </c:numCache>
            </c:numRef>
          </c:val>
        </c:ser>
        <c:ser>
          <c:idx val="1"/>
          <c:order val="1"/>
          <c:tx>
            <c:strRef>
              <c:f>[visualization.xlsx]Sheet1!$A$14</c:f>
              <c:strCache>
                <c:ptCount val="1"/>
                <c:pt idx="0">
                  <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[Book1]Sheet1!$B$11:$D$12</c:f>
              <c:multiLvlStrCache>
                <c:ptCount val="3"/>
                <c:lvl>
                  <c:pt idx="0">
                    <c:v> interact with each other</c:v>
                  </c:pt>
                  <c:pt idx="1">
                    <c:v> helpful </c:v>
                  </c:pt>
                </c:lvl>
                <c:lvl>
                  <c:pt idx="0">
                    <c:v> Visual Learning Analysis</c:v>
                  </c:pt>
                  <c:pt idx="2">
                    <c:v>Feed back analysis</c:v>
                  </c:pt>
                </c:lvl>
              </c:multiLvlStrCache>
            </c:multiLvlStrRef>
          </c:cat>
          <c:val>
            <c:numRef>
              <c:f>[Book1]Sheet1!$B$14:$D$14</c:f>
              <c:numCache>
                <c:formatCode>General</c:formatCode>
                <c:ptCount val="3"/>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2024-04-20T19:29:00Z</dcterms:created>
  <dc:creator>A</dc:creator>
  <cp:lastModifiedBy>Syed Ali Hasnat</cp:lastModifiedBy>
  <dcterms:modified xsi:type="dcterms:W3CDTF">2024-04-21T21:51:01Z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6AD15C389D6F40A2AFACE335415A96C6_11</vt:lpwstr>
  </property>
</Properties>
</file>