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center"/>
      </w:pPr>
      <w:r>
        <w:rPr>
          <w:rFonts w:ascii="Times New Roman" w:hAnsi="Times New Roman" w:cs="Times New Roman" w:eastAsia="Times New Roman"/>
          <w:b/>
          <w:i w:val="0"/>
          <w:sz w:val="28"/>
        </w:rPr>
        <w:t>Results</w:t>
      </w:r>
    </w:p>
    <w:p>
      <w:pPr>
        <w:spacing w:after="320" w:line="240" w:lineRule="auto"/>
        <w:jc w:val="center"/>
      </w:pPr>
      <w:r>
        <w:rPr>
          <w:rFonts w:ascii="Times New Roman" w:hAnsi="Times New Roman" w:cs="Times New Roman" w:eastAsia="Times New Roman"/>
          <w:b w:val="0"/>
          <w:i/>
          <w:sz w:val="22"/>
        </w:rPr>
        <w:t>Machine-learning analysis of blood metals and metabolic syndrome in NHANES 2007–2018</w:t>
      </w:r>
    </w:p>
    <w:p>
      <w:pPr>
        <w:keepNext/>
        <w:spacing w:before="280" w:after="80" w:line="240" w:lineRule="auto"/>
      </w:pPr>
      <w:r>
        <w:rPr>
          <w:rFonts w:ascii="Times New Roman" w:hAnsi="Times New Roman" w:cs="Times New Roman" w:eastAsia="Times New Roman"/>
          <w:b/>
          <w:i w:val="0"/>
          <w:sz w:val="25"/>
        </w:rPr>
        <w:t>1. Study population</w:t>
      </w:r>
    </w:p>
    <w:p>
      <w:pPr>
        <w:spacing w:after="0"/>
        <w:ind w:firstLine="432"/>
        <w:jc w:val="both"/>
      </w:pPr>
      <w:r>
        <w:rPr>
          <w:rFonts w:ascii="Times New Roman" w:hAnsi="Times New Roman" w:cs="Times New Roman" w:eastAsia="Times New Roman"/>
          <w:b w:val="0"/>
          <w:i w:val="0"/>
          <w:sz w:val="24"/>
        </w:rPr>
        <w:t>Of 59,842 participants sampled across the six NHANES cycles, 11,144 adults met all inclusion criteria (Figure 1), and were divided into 8,915 training and 2,229 held-out test participants. Metabolic syndrome was present in 5,163 participants, a crude prevalence of 46.33%. Of these, 1,201 reached the three-component threshold only because the drug-treatment clause scored a component positive that the measured value alone would not have, and would have been classified as non-cases under a measured-value-only definition (35.55% prevalence).</w:t>
      </w:r>
    </w:p>
    <w:p>
      <w:pPr>
        <w:spacing w:after="0"/>
        <w:ind w:firstLine="432"/>
        <w:jc w:val="both"/>
      </w:pPr>
      <w:r>
        <w:rPr>
          <w:rFonts w:ascii="Times New Roman" w:hAnsi="Times New Roman" w:cs="Times New Roman" w:eastAsia="Times New Roman"/>
          <w:b w:val="0"/>
          <w:i w:val="0"/>
          <w:sz w:val="24"/>
        </w:rPr>
        <w:t>Survey-weighted characteristics by metabolic syndrome status are given in Table 1. Participants with metabolic syndrome were on average 13.4 years older and had a body mass index 5.5 kg/m² higher. Among the blood metals, lead and selenium were higher in the metabolic syndrome group and mercury and manganese were lower, while cadmium did not differ appreciably; every difference reaching significance was small relative to the spread of the measurements.</w:t>
      </w:r>
    </w:p>
    <w:p>
      <w:pPr>
        <w:keepNext/>
        <w:spacing w:line="240" w:lineRule="auto" w:before="80" w:after="16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val="0"/>
          <w:sz w:val="20"/>
        </w:rPr>
        <w:t>Survey-weighted characteristics of the analytic cohort by metabolic syndrome status. Continuous variables are weighted means (standard error); categorical variables are weighted percentages (standard error). Standard errors account for the NHANES complex survey design via Taylor-series linearization with domain estimation.</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3816"/>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8"/>
              </w:rPr>
              <w:t>Characteristic</w:t>
            </w:r>
          </w:p>
        </w:tc>
        <w:tc>
          <w:tcPr>
            <w:tcW w:type="dxa" w:w="1944"/>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8"/>
              </w:rPr>
              <w:t>No MetS</w:t>
            </w:r>
          </w:p>
        </w:tc>
        <w:tc>
          <w:tcPr>
            <w:tcW w:type="dxa" w:w="1944"/>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8"/>
              </w:rPr>
              <w:t>MetS</w:t>
            </w:r>
          </w:p>
        </w:tc>
        <w:tc>
          <w:tcPr>
            <w:tcW w:type="dxa" w:w="1080"/>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8"/>
              </w:rPr>
              <w:t>p</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Age (years)</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41.82 (0.333)</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55.27 (0.319)</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Body mass index (kg/m²)</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26.53 (0.123)</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32.01 (0.183)</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Blood lead (µg/dL)</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1.33 (0.040)</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1.48 (0.035)</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0.007</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Blood cadmium (µg/L)</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0.47 (0.011)</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0.50 (0.011)</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0.108</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Blood mercury, total (µg/L)</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1.54 (0.050)</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1.37 (0.045)</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0.009</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Blood selenium (µg/L)</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194.76 (0.806)</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197.95 (1.300)</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0.037</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Blood manganese (µg/L)</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10.02 (0.079)</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9.68 (0.092)</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0.005</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Income-to-poverty ratio</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3.02 (0.043)</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2.94 (0.051)</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0.209</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Sex: Male</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48.70 (0.814)</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50.19 (1.063)</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0.125</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Sex: Female</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51.30 (0.814)</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49.81 (1.063)</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0.125</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Race/ethnicity: Mexican American</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9.30 (0.818)</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8.36 (0.860)</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Race/ethnicity: Other Hispanic</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6.58 (0.620)</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5.39 (0.572)</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Race/ethnicity: Non-Hispanic White</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64.86 (1.394)</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70.37 (1.570)</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Race/ethnicity: Non-Hispanic Black</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10.85 (0.784)</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9.29 (0.734)</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Race/ethnicity: Other/Multi-Racial</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8.41 (0.608)</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6.59 (0.558)</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Education level: &lt;9th grade</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4.69 (0.345)</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7.15 (0.495)</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Education level: 9-11th grade</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9.59 (0.574)</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12.21 (0.746)</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Education level: HS grad/GED</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20.97 (0.829)</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25.83 (0.982)</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Education level: Some college/AA degree</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30.13 (0.955)</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31.06 (1.111)</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Education level: College grad or above</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34.62 (1.395)</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23.76 (1.154)</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81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Smoked ≥100 cigarettes in life: Yes</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41.82 (1.007)</w:t>
            </w:r>
          </w:p>
        </w:tc>
        <w:tc>
          <w:tcPr>
            <w:tcW w:type="dxa" w:w="194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49.31 (0.993)</w:t>
            </w:r>
          </w:p>
        </w:tc>
        <w:tc>
          <w:tcPr>
            <w:tcW w:type="dxa" w:w="108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816"/>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8"/>
              </w:rPr>
              <w:t>Smoked ≥100 cigarettes in life: No</w:t>
            </w:r>
          </w:p>
        </w:tc>
        <w:tc>
          <w:tcPr>
            <w:tcW w:type="dxa" w:w="1944"/>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8"/>
              </w:rPr>
              <w:t>58.18 (1.007)</w:t>
            </w:r>
          </w:p>
        </w:tc>
        <w:tc>
          <w:tcPr>
            <w:tcW w:type="dxa" w:w="1944"/>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8"/>
              </w:rPr>
              <w:t>50.69 (0.993)</w:t>
            </w:r>
          </w:p>
        </w:tc>
        <w:tc>
          <w:tcPr>
            <w:tcW w:type="dxa" w:w="1080"/>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bl>
    <w:p>
      <w:pPr>
        <w:spacing w:line="240" w:lineRule="auto" w:before="80" w:after="280"/>
      </w:pPr>
      <w:r>
        <w:rPr>
          <w:rFonts w:ascii="Times New Roman" w:hAnsi="Times New Roman" w:cs="Times New Roman" w:eastAsia="Times New Roman"/>
          <w:b w:val="0"/>
          <w:i w:val="0"/>
          <w:sz w:val="18"/>
        </w:rPr>
        <w:t xml:space="preserve">MetS, metabolic syndrome. Unweighted group sizes: no MetS n = 5,981; MetS n = 5,163. Selenium and manganese were assayed only from the 2011–2012 cycle onward, so both are based on n = 3,382 without and n = 2,935 with metabolic syndrome. Metal concentrations use the cycle-appropriate laboratory weight; all other rows use the examination weight. </w:t>
      </w:r>
      <w:r>
        <w:rPr>
          <w:rFonts w:ascii="Times New Roman" w:hAnsi="Times New Roman" w:cs="Times New Roman" w:eastAsia="Times New Roman"/>
          <w:b w:val="0"/>
          <w:i/>
          <w:sz w:val="18"/>
        </w:rPr>
        <w:t>p-values for categorical variables are descriptive chi-square tests and are not design-corrected.</w:t>
      </w:r>
    </w:p>
    <w:p>
      <w:pPr>
        <w:keepNext/>
        <w:spacing w:before="280" w:after="80" w:line="240" w:lineRule="auto"/>
      </w:pPr>
      <w:r>
        <w:rPr>
          <w:rFonts w:ascii="Times New Roman" w:hAnsi="Times New Roman" w:cs="Times New Roman" w:eastAsia="Times New Roman"/>
          <w:b/>
          <w:i w:val="0"/>
          <w:sz w:val="25"/>
        </w:rPr>
        <w:t>2. Model performance</w:t>
      </w:r>
    </w:p>
    <w:p>
      <w:pPr>
        <w:spacing w:after="0"/>
        <w:ind w:firstLine="432"/>
        <w:jc w:val="both"/>
      </w:pPr>
      <w:r>
        <w:rPr>
          <w:rFonts w:ascii="Times New Roman" w:hAnsi="Times New Roman" w:cs="Times New Roman" w:eastAsia="Times New Roman"/>
          <w:b w:val="0"/>
          <w:i w:val="0"/>
          <w:sz w:val="24"/>
        </w:rPr>
        <w:t>All eleven models were evaluated once on the held-out test partition (Table 2, Figure 2). CatBoost achieved the highest area under the receiver operating characteristic curve at 0.857 (0.840–0.872), and Naive Bayes the lowest at 0.730 (0.709–0.752). The apparent ordering at the top of the table does not survive sampling variability: in the paired bootstrap, LightGBM, XGBoost and Gradient Boosting all had AUROC differences from CatBoost whose 95% confidence intervals included zero (p = 0.732, 0.268, 0.172; Figure S2), so these four gradient-boosted ensembles form a tied leading group rather than a ranking. Every remaining model differed from CatBoost at p &lt; 0.001. Two caveats apply: the reference was chosen as the test-set maximum, so the differences carry a winner's-curse bias and the p-values are anticonservative, and no adjustment was made for the ten simultaneous comparisons. The margin over the simplest baseline is modest in any case: logistic regression reached 0.845, only 0.012 AUROC units below CatBoost (0.006–0.018).</w:t>
      </w:r>
    </w:p>
    <w:p>
      <w:pPr>
        <w:spacing w:after="0"/>
        <w:ind w:firstLine="432"/>
        <w:jc w:val="both"/>
      </w:pPr>
      <w:r>
        <w:rPr>
          <w:rFonts w:ascii="Times New Roman" w:hAnsi="Times New Roman" w:cs="Times New Roman" w:eastAsia="Times New Roman"/>
          <w:b w:val="0"/>
          <w:i w:val="0"/>
          <w:sz w:val="24"/>
        </w:rPr>
        <w:t>Calibration of the four leading models was close to ideal, with slopes from 1.06 to 1.10 against an ideal of 1.00 (Figure S3). Calibration did not track discrimination across the wider field, which AUROC alone would conceal: Random Forest reached a respectable 0.845 but a slope of 1.40, and the multilayer perceptron (0.43) and Naive Bayes (0.18) were worse in the opposite direction, producing probabilities far too extreme for the evidence behind them. Any of these could rank participants acceptably while giving an individual a badly wrong absolute risk. Decision-curve analysis (Figure S4) showed the leading models above both reference strategies across the range of thresholds examined; at a threshold of 0.20, CatBoost yielded a net benefit of 0.376 against 0.329 for treat-all, equivalent to identifying 47 additional true cases per 1,000 adults screened without treating more people unnecessarily. Threshold-level classification metrics are given in Table S4.</w:t>
      </w:r>
    </w:p>
    <w:p>
      <w:pPr>
        <w:keepNext/>
        <w:spacing w:line="240" w:lineRule="auto" w:before="80" w:after="16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val="0"/>
          <w:sz w:val="20"/>
        </w:rPr>
        <w:t xml:space="preserve">Discrimination and calibration on the held-out test partition (n = 2,229), ordered by AUROC. Differences are against CatBoost from a paired bootstrap of 1,000 resamples in which the same resampled participants were scored under both models. </w:t>
      </w:r>
      <w:r>
        <w:rPr>
          <w:rFonts w:ascii="Times New Roman" w:hAnsi="Times New Roman" w:cs="Times New Roman" w:eastAsia="Times New Roman"/>
          <w:b/>
          <w:i w:val="0"/>
          <w:sz w:val="20"/>
        </w:rPr>
        <w:t>Models in bold are statistically indistinguishable from CatBoost.</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trPr>
        <w:tc>
          <w:tcPr>
            <w:tcW w:type="dxa" w:w="1656"/>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Model</w:t>
            </w:r>
          </w:p>
        </w:tc>
        <w:tc>
          <w:tcPr>
            <w:tcW w:type="dxa" w:w="187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AUROC (95% CI)</w:t>
            </w:r>
          </w:p>
        </w:tc>
        <w:tc>
          <w:tcPr>
            <w:tcW w:type="dxa" w:w="720"/>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AUPRC</w:t>
            </w:r>
          </w:p>
        </w:tc>
        <w:tc>
          <w:tcPr>
            <w:tcW w:type="dxa" w:w="749"/>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Brier</w:t>
            </w:r>
          </w:p>
        </w:tc>
        <w:tc>
          <w:tcPr>
            <w:tcW w:type="dxa" w:w="835"/>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Cal. slope</w:t>
            </w:r>
          </w:p>
        </w:tc>
        <w:tc>
          <w:tcPr>
            <w:tcW w:type="dxa" w:w="2448"/>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Δ AUROC vs CatBoost (95% CI)</w:t>
            </w:r>
          </w:p>
        </w:tc>
        <w:tc>
          <w:tcPr>
            <w:tcW w:type="dxa" w:w="864"/>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p</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i w:val="0"/>
                <w:sz w:val="16"/>
              </w:rPr>
              <w:t>CatBoost</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0.857 (0.840–0.872)</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0.811</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0.1534</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1.06</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reference</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i w:val="0"/>
                <w:sz w:val="16"/>
              </w:rPr>
              <w:t>LightGBM</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0.856 (0.840–0.871)</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0.815</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0.1541</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1.10</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0.0006 (−0.0026 to 0.0040)</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0.732</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i w:val="0"/>
                <w:sz w:val="16"/>
              </w:rPr>
              <w:t>XGBoost</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0.855 (0.839–0.870)</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0.809</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0.1544</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1.09</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0.0017 (−0.0013 to 0.0046)</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0.268</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i w:val="0"/>
                <w:sz w:val="16"/>
              </w:rPr>
              <w:t>Gradient Boosting</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0.855 (0.839–0.870)</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0.804</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0.1544</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1.06</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0.0021 (−0.0010 to 0.0052)</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0.172</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SVM</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0.846 (0.829–0.862)</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0.805</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0.1594</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0.99</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0.0104 (0.0049 to 0.0153)</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&lt; 0.001</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Logistic Regression</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0.845 (0.828–0.861)</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0.788</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0.1609</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1.08</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0.0119 (0.0056 to 0.0181)</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&lt; 0.001</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Random Forest</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0.845 (0.827–0.861)</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0.796</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0.1629</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1.40</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0.0120 (0.0075 to 0.0165)</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&lt; 0.001</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Decision Tree</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0.830 (0.811–0.846)</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0.769</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0.1676</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0.92</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0.0267 (0.0185 to 0.0350)</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&lt; 0.001</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MLP</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0.806 (0.788–0.823)</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0.761</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0.1957</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0.43</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0.0506 (0.0385 to 0.0622)</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&lt; 0.001</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KNN</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0.802 (0.782–0.821)</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0.738</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0.1847</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1.09</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0.0548 (0.0434 to 0.0655)</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&lt; 0.001</w:t>
            </w:r>
          </w:p>
        </w:tc>
      </w:tr>
      <w:tr>
        <w:trPr>
          <w:cantSplit/>
        </w:trPr>
        <w:tc>
          <w:tcPr>
            <w:tcW w:type="dxa" w:w="1656"/>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Naive Bayes</w:t>
            </w:r>
          </w:p>
        </w:tc>
        <w:tc>
          <w:tcPr>
            <w:tcW w:type="dxa" w:w="187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0.730 (0.709–0.752)</w:t>
            </w:r>
          </w:p>
        </w:tc>
        <w:tc>
          <w:tcPr>
            <w:tcW w:type="dxa" w:w="720"/>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0.669</w:t>
            </w:r>
          </w:p>
        </w:tc>
        <w:tc>
          <w:tcPr>
            <w:tcW w:type="dxa" w:w="749"/>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0.2651</w:t>
            </w:r>
          </w:p>
        </w:tc>
        <w:tc>
          <w:tcPr>
            <w:tcW w:type="dxa" w:w="835"/>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0.18</w:t>
            </w:r>
          </w:p>
        </w:tc>
        <w:tc>
          <w:tcPr>
            <w:tcW w:type="dxa" w:w="2448"/>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0.1266 (0.1082 to 0.1432)</w:t>
            </w:r>
          </w:p>
        </w:tc>
        <w:tc>
          <w:tcPr>
            <w:tcW w:type="dxa" w:w="864"/>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&lt; 0.001</w:t>
            </w:r>
          </w:p>
        </w:tc>
      </w:tr>
    </w:tbl>
    <w:p>
      <w:pPr>
        <w:spacing w:line="240" w:lineRule="auto" w:before="80" w:after="280"/>
      </w:pPr>
      <w:r>
        <w:rPr>
          <w:rFonts w:ascii="Times New Roman" w:hAnsi="Times New Roman" w:cs="Times New Roman" w:eastAsia="Times New Roman"/>
          <w:b w:val="0"/>
          <w:i w:val="0"/>
          <w:sz w:val="18"/>
        </w:rPr>
        <w:t>AUROC, area under the receiver operating characteristic curve; AUPRC, area under the precision–recall curve; Cal. slope, calibration slope (1.00 = perfect). Lower Brier scores indicate better probabilistic accuracy.</w:t>
      </w:r>
    </w:p>
    <w:p>
      <w:pPr>
        <w:keepNext/>
        <w:spacing w:before="200" w:after="0" w:line="240" w:lineRule="auto"/>
        <w:jc w:val="center"/>
      </w:pPr>
      <w:r>
        <w:drawing>
          <wp:inline xmlns:a="http://schemas.openxmlformats.org/drawingml/2006/main" xmlns:pic="http://schemas.openxmlformats.org/drawingml/2006/picture">
            <wp:extent cx="5760720" cy="3073018"/>
            <wp:docPr id="1" name="Picture 1"/>
            <wp:cNvGraphicFramePr>
              <a:graphicFrameLocks noChangeAspect="1"/>
            </wp:cNvGraphicFramePr>
            <a:graphic>
              <a:graphicData uri="http://schemas.openxmlformats.org/drawingml/2006/picture">
                <pic:pic>
                  <pic:nvPicPr>
                    <pic:cNvPr id="0" name="fig2_roc_curves.png"/>
                    <pic:cNvPicPr/>
                  </pic:nvPicPr>
                  <pic:blipFill>
                    <a:blip r:embed="rId9"/>
                    <a:stretch>
                      <a:fillRect/>
                    </a:stretch>
                  </pic:blipFill>
                  <pic:spPr>
                    <a:xfrm>
                      <a:off x="0" y="0"/>
                      <a:ext cx="5760720" cy="3073018"/>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val="0"/>
          <w:sz w:val="20"/>
        </w:rPr>
        <w:t xml:space="preserve">Receiver operating characteristic curves on the held-out test partition. </w:t>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All eleven models, with AUROC in the legend; the four models statistically indistinguishable from the best performer are drawn in color and the remainder in grey. </w:t>
      </w:r>
      <w:r>
        <w:rPr>
          <w:rFonts w:ascii="Times New Roman" w:hAnsi="Times New Roman" w:cs="Times New Roman" w:eastAsia="Times New Roman"/>
          <w:b/>
          <w:i w:val="0"/>
          <w:sz w:val="20"/>
        </w:rPr>
        <w:t>(B)</w:t>
      </w:r>
      <w:r>
        <w:rPr>
          <w:rFonts w:ascii="Times New Roman" w:hAnsi="Times New Roman" w:cs="Times New Roman" w:eastAsia="Times New Roman"/>
          <w:b w:val="0"/>
          <w:i w:val="0"/>
          <w:sz w:val="20"/>
        </w:rPr>
        <w:t xml:space="preserve"> Detail of the region of clinical interest.</w:t>
      </w:r>
    </w:p>
    <w:p>
      <w:pPr>
        <w:keepNext/>
        <w:spacing w:before="280" w:after="80" w:line="240" w:lineRule="auto"/>
      </w:pPr>
      <w:r>
        <w:rPr>
          <w:rFonts w:ascii="Times New Roman" w:hAnsi="Times New Roman" w:cs="Times New Roman" w:eastAsia="Times New Roman"/>
          <w:b/>
          <w:i w:val="0"/>
          <w:sz w:val="25"/>
        </w:rPr>
        <w:t>3. Predictor importance</w:t>
      </w:r>
    </w:p>
    <w:p>
      <w:pPr>
        <w:spacing w:after="0"/>
        <w:ind w:firstLine="432"/>
        <w:jc w:val="both"/>
      </w:pPr>
      <w:r>
        <w:rPr>
          <w:rFonts w:ascii="Times New Roman" w:hAnsi="Times New Roman" w:cs="Times New Roman" w:eastAsia="Times New Roman"/>
          <w:b w:val="0"/>
          <w:i w:val="0"/>
          <w:sz w:val="24"/>
        </w:rPr>
        <w:t>Body mass index and age dominated both importance analyses (Figures 3 and 4; full ranking in Table S5). By mean absolute SHAP value, body mass index (1.025) and age (0.991) were followed by vigorous recreational activity at 0.194, a fivefold drop from second to third. The gap was starker by permutation importance, where removing body mass index cost 0.160 AUROC units and age 0.156, against 0.0084 for the third-ranked predictor. Between them these two account for nearly all of the model's discriminatory capacity; everything else adjusts risk at the margin.</w:t>
      </w:r>
    </w:p>
    <w:p>
      <w:pPr>
        <w:spacing w:after="0"/>
        <w:ind w:firstLine="432"/>
        <w:jc w:val="both"/>
      </w:pPr>
      <w:r>
        <w:rPr>
          <w:rFonts w:ascii="Times New Roman" w:hAnsi="Times New Roman" w:cs="Times New Roman" w:eastAsia="Times New Roman"/>
          <w:b w:val="0"/>
          <w:i w:val="0"/>
          <w:sz w:val="24"/>
        </w:rPr>
        <w:t>The two methods agreed only moderately below the top of the ranking (Spearman ρ = 0.62 across 33 predictors; Figure 4A). Disagreement of this kind is expected rather than anomalous: mean absolute SHAP measures how far a predictor moves individual predictions, whereas permutation importance measures how much ranking performance degrades when that predictor is destroyed, so a predictor substitutable by correlated predictors scores well on the first and poorly on the second. Reporting either alone would have supported a confident but method-dependent account of which exposures matter. Two missingness indicators also carried non-trivial SHAP weight (whether average daily alcohol consumption and whether the income-to-poverty ratio were recorded), which are artifacts of questionnaire structure rather than biological signal and are excluded from the predictor ranking.</w:t>
      </w:r>
    </w:p>
    <w:p>
      <w:pPr>
        <w:keepNext/>
        <w:spacing w:before="200" w:after="0" w:line="240" w:lineRule="auto"/>
        <w:jc w:val="center"/>
      </w:pPr>
      <w:r>
        <w:drawing>
          <wp:inline xmlns:a="http://schemas.openxmlformats.org/drawingml/2006/main" xmlns:pic="http://schemas.openxmlformats.org/drawingml/2006/picture">
            <wp:extent cx="5394960" cy="4920940"/>
            <wp:docPr id="2" name="Picture 2"/>
            <wp:cNvGraphicFramePr>
              <a:graphicFrameLocks noChangeAspect="1"/>
            </wp:cNvGraphicFramePr>
            <a:graphic>
              <a:graphicData uri="http://schemas.openxmlformats.org/drawingml/2006/picture">
                <pic:pic>
                  <pic:nvPicPr>
                    <pic:cNvPr id="0" name="fig6_shap_beeswarm.png"/>
                    <pic:cNvPicPr/>
                  </pic:nvPicPr>
                  <pic:blipFill>
                    <a:blip r:embed="rId10"/>
                    <a:stretch>
                      <a:fillRect/>
                    </a:stretch>
                  </pic:blipFill>
                  <pic:spPr>
                    <a:xfrm>
                      <a:off x="0" y="0"/>
                      <a:ext cx="5394960" cy="4920940"/>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val="0"/>
          <w:sz w:val="20"/>
        </w:rPr>
        <w:t>SHAP summary plot for the CatBoost model on the held-out test partition, showing the 18 highest-ranked features. Each point is one participant; horizontal position is that feature's contribution to that participant's predicted log-odds of metabolic syndrome, and color encodes the feature's value from low (blue) to high (orange). Abbreviations: BMI, body mass index (kg/m²); Vigorous rec. PA, vigorous recreational activity; Resting pulse, resting pulse (60 sec); Eth: NH Black, race/ethnicity: Non-Hispanic Black; Diet quality, self-rated diet quality (1=excellent...5=poor); Eth: Other/Multi, race/ethnicity: Other/Multi-Racial; Blood Cd, blood cadmium (µg/L); Blood Pb, blood lead (µg/dL); Blood Se, blood selenium (µg/L); Blood Hg, blood mercury, total (µg/L); PIR, income-to-poverty ratio; Drinks/day, avg. alcoholic drinks/day (past 12 mo); Smoking intensity, current smoking intensity (0=none, 1=some days, 2=every day); Moderate rec. PA, moderate recreational activity.</w:t>
      </w:r>
    </w:p>
    <w:p>
      <w:pPr>
        <w:keepNext/>
        <w:spacing w:before="280" w:after="80" w:line="240" w:lineRule="auto"/>
      </w:pPr>
      <w:r>
        <w:rPr>
          <w:rFonts w:ascii="Times New Roman" w:hAnsi="Times New Roman" w:cs="Times New Roman" w:eastAsia="Times New Roman"/>
          <w:b/>
          <w:i w:val="0"/>
          <w:sz w:val="25"/>
        </w:rPr>
        <w:t>4. Blood metals</w:t>
      </w:r>
    </w:p>
    <w:p>
      <w:pPr>
        <w:spacing w:after="0"/>
        <w:ind w:firstLine="432"/>
        <w:jc w:val="both"/>
      </w:pPr>
      <w:r>
        <w:rPr>
          <w:rFonts w:ascii="Times New Roman" w:hAnsi="Times New Roman" w:cs="Times New Roman" w:eastAsia="Times New Roman"/>
          <w:b w:val="0"/>
          <w:i w:val="0"/>
          <w:sz w:val="24"/>
        </w:rPr>
        <w:t>All five metals ranked in the middle or lower portion of the ordering, well below body mass index and age but above several demographic and lifestyle covariates. Their relative standing depended sharply on which importance method was used, and that method-dependence is itself the substantive observation; the precise ordering it produces is not. Cadmium was the highest-ranked metal by SHAP (rank 10 of 33) but fell to 18 by permutation importance, a gap of 8 places; the widest gap among the metals belonged to mercury (14 versus 27). Lead showed the opposite pattern, ranking 11 and 9: close agreement between methods, and the only metal of the five in the permutation-importance top ten.</w:t>
      </w:r>
    </w:p>
    <w:p>
      <w:pPr>
        <w:spacing w:after="0"/>
        <w:ind w:firstLine="432"/>
        <w:jc w:val="both"/>
      </w:pPr>
      <w:r>
        <w:rPr>
          <w:rFonts w:ascii="Times New Roman" w:hAnsi="Times New Roman" w:cs="Times New Roman" w:eastAsia="Times New Roman"/>
          <w:b w:val="0"/>
          <w:i w:val="0"/>
          <w:sz w:val="24"/>
        </w:rPr>
        <w:t>Agreement across independently fitted models tells the same story more decisively (Figure 4B). Lead was the most stable, ranking 4–9 across the four leading models and appearing in the top ten of every one. Selenium ranked 11–27, cadmium 17–29, manganese 19–29 and mercury 15–33, the widest swing of any predictor examined. Averaged across models, neither cadmium nor mercury nor manganese placed among the fifteen highest-ranked predictors. The permutation analysis also carries its own uncertainty, and reading the metal ordering without it would overstate what the data support: across ten permutations only lead (0.00123 ± 0.00044) and selenium (0.00069 ± 0.00023) had mean importances exceeding their own standard deviation, whereas for cadmium, manganese and mercury the mean was smaller than the run-to-run variability. The defensible statement is narrower than a rank list: lead and selenium carry permutation signal distinguishable from noise, and the other three do not.</w:t>
      </w:r>
    </w:p>
    <w:p>
      <w:pPr>
        <w:spacing w:after="0"/>
        <w:ind w:firstLine="432"/>
        <w:jc w:val="both"/>
      </w:pPr>
      <w:r>
        <w:rPr>
          <w:rFonts w:ascii="Times New Roman" w:hAnsi="Times New Roman" w:cs="Times New Roman" w:eastAsia="Times New Roman"/>
          <w:b w:val="0"/>
          <w:i w:val="0"/>
          <w:sz w:val="24"/>
        </w:rPr>
        <w:t>The shape of each metal's contribution is shown in Figure 5. Selenium was the only one to rise monotonically across essentially its whole range, moving from −0.039 in the lowest bin, crossing zero at approximately 198 µg/L and reaching 0.235 in the highest, the largest positive contribution of any metal. Cadmium was U-shaped, contributing positively at both the lowest (0.050) and highest (0.104) concentrations with a trough of −0.049 between. Lead ran opposite to the conventional expectation, contributing positively only up to about 1.7 µg/dL and then declining to −0.151 in the highest bin. Mercury declined similarly, and manganese was flat throughout, every binned mean falling between −0.026 and 0.043.</w:t>
      </w:r>
    </w:p>
    <w:p>
      <w:pPr>
        <w:spacing w:after="0"/>
        <w:ind w:firstLine="432"/>
        <w:jc w:val="both"/>
      </w:pPr>
      <w:r>
        <w:rPr>
          <w:rFonts w:ascii="Times New Roman" w:hAnsi="Times New Roman" w:cs="Times New Roman" w:eastAsia="Times New Roman"/>
          <w:b w:val="0"/>
          <w:i w:val="0"/>
          <w:sz w:val="24"/>
        </w:rPr>
        <w:t>The inverse gradient for lead deserves emphasis rather than quiet omission, because it runs against the hypothesis that motivated the analysis. In a cross-sectional model adjusted for body mass index, age and socioeconomic position, higher blood lead was associated with a lower predicted probability of metabolic syndrome. This is an associational pattern within one fitted model, not an estimate of a causal effect; residual confounding by smoking, which raises blood cadmium and lead while being associated with lower body mass index, is one plausible explanation among several, and adiposity-related dilution of blood metal concentrations is another. Disentangling these is what the Mendelian randomization component is designed to do, and the direction observed here should be read as a question posed to that analysis rather than an answer from this one.</w:t>
      </w:r>
    </w:p>
    <w:p>
      <w:pPr>
        <w:keepNext/>
        <w:spacing w:before="200" w:after="0" w:line="240" w:lineRule="auto"/>
        <w:jc w:val="center"/>
      </w:pPr>
      <w:r>
        <w:drawing>
          <wp:inline xmlns:a="http://schemas.openxmlformats.org/drawingml/2006/main" xmlns:pic="http://schemas.openxmlformats.org/drawingml/2006/picture">
            <wp:extent cx="5212080" cy="4951039"/>
            <wp:docPr id="3" name="Picture 3"/>
            <wp:cNvGraphicFramePr>
              <a:graphicFrameLocks noChangeAspect="1"/>
            </wp:cNvGraphicFramePr>
            <a:graphic>
              <a:graphicData uri="http://schemas.openxmlformats.org/drawingml/2006/picture">
                <pic:pic>
                  <pic:nvPicPr>
                    <pic:cNvPr id="0" name="fig7_importance_concordance.png"/>
                    <pic:cNvPicPr/>
                  </pic:nvPicPr>
                  <pic:blipFill>
                    <a:blip r:embed="rId11"/>
                    <a:stretch>
                      <a:fillRect/>
                    </a:stretch>
                  </pic:blipFill>
                  <pic:spPr>
                    <a:xfrm>
                      <a:off x="0" y="0"/>
                      <a:ext cx="5212080" cy="4951039"/>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val="0"/>
          <w:sz w:val="20"/>
        </w:rPr>
        <w:t xml:space="preserve">Agreement between importance methods and across models. </w:t>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Rank by mean absolute SHAP value against rank by permutation importance for the CatBoost model; the five blood metals are highlighted and the diagonal denotes perfect agreement. </w:t>
      </w:r>
      <w:r>
        <w:rPr>
          <w:rFonts w:ascii="Times New Roman" w:hAnsi="Times New Roman" w:cs="Times New Roman" w:eastAsia="Times New Roman"/>
          <w:b/>
          <w:i w:val="0"/>
          <w:sz w:val="20"/>
        </w:rPr>
        <w:t>(B)</w:t>
      </w:r>
      <w:r>
        <w:rPr>
          <w:rFonts w:ascii="Times New Roman" w:hAnsi="Times New Roman" w:cs="Times New Roman" w:eastAsia="Times New Roman"/>
          <w:b w:val="0"/>
          <w:i w:val="0"/>
          <w:sz w:val="20"/>
        </w:rPr>
        <w:t xml:space="preserve"> Permutation-importance rank of the fifteen highest-ranked predictors in each of the four leading models, fitted independently. A predictor whose row is uniform is important as a property of the data; one whose row varies is important as a property of a particular fitted model. Abbreviations as in Figure 3, plus Blood Mn, blood manganese (µg/L); Active transport, minutes walking/biking for transportation.</w:t>
      </w:r>
    </w:p>
    <w:p>
      <w:pPr>
        <w:keepNext/>
        <w:spacing w:before="200" w:after="0" w:line="240" w:lineRule="auto"/>
        <w:jc w:val="center"/>
      </w:pPr>
      <w:r>
        <w:drawing>
          <wp:inline xmlns:a="http://schemas.openxmlformats.org/drawingml/2006/main" xmlns:pic="http://schemas.openxmlformats.org/drawingml/2006/picture">
            <wp:extent cx="5760720" cy="2190674"/>
            <wp:docPr id="4" name="Picture 4"/>
            <wp:cNvGraphicFramePr>
              <a:graphicFrameLocks noChangeAspect="1"/>
            </wp:cNvGraphicFramePr>
            <a:graphic>
              <a:graphicData uri="http://schemas.openxmlformats.org/drawingml/2006/picture">
                <pic:pic>
                  <pic:nvPicPr>
                    <pic:cNvPr id="0" name="fig8_metals_shap_dependence.png"/>
                    <pic:cNvPicPr/>
                  </pic:nvPicPr>
                  <pic:blipFill>
                    <a:blip r:embed="rId12"/>
                    <a:stretch>
                      <a:fillRect/>
                    </a:stretch>
                  </pic:blipFill>
                  <pic:spPr>
                    <a:xfrm>
                      <a:off x="0" y="0"/>
                      <a:ext cx="5760720" cy="2190674"/>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val="0"/>
          <w:sz w:val="20"/>
        </w:rPr>
        <w:t>SHAP dependence for the five blood metals in the CatBoost model on the held-out test partition. Each grey point is one participant; the orange line joins mean SHAP values within duodeciles of the exposure distribution, and the dashed line at zero marks no contribution to the predicted log-odds. Axes are truncated at the 1st and 98th percentiles. Selenium and manganese are based on the 1,309 test participants from cycles in which those analytes were assayed. Abbreviations as in Figure 3.</w:t>
      </w:r>
    </w:p>
    <w:p>
      <w:pPr>
        <w:keepNext/>
        <w:spacing w:before="280" w:after="80" w:line="240" w:lineRule="auto"/>
      </w:pPr>
      <w:r>
        <w:rPr>
          <w:rFonts w:ascii="Times New Roman" w:hAnsi="Times New Roman" w:cs="Times New Roman" w:eastAsia="Times New Roman"/>
          <w:b/>
          <w:i w:val="0"/>
          <w:sz w:val="25"/>
        </w:rPr>
        <w:t>5. Subgroup performance and sensitivity analyses</w:t>
      </w:r>
    </w:p>
    <w:p>
      <w:pPr>
        <w:spacing w:after="0"/>
        <w:ind w:firstLine="432"/>
        <w:jc w:val="both"/>
      </w:pPr>
      <w:r>
        <w:rPr>
          <w:rFonts w:ascii="Times New Roman" w:hAnsi="Times New Roman" w:cs="Times New Roman" w:eastAsia="Times New Roman"/>
          <w:b w:val="0"/>
          <w:i w:val="0"/>
          <w:sz w:val="24"/>
        </w:rPr>
        <w:t>Discrimination was stable across sex and race/ethnicity but deteriorated markedly with age (Table S6, Figure S5). Against an overall test-set AUROC of 0.857 (0.840–0.872), the oldest tertile reached 0.741 (0.701–0.783), an interval lying entirely below that of the youngest tertile (0.861, 0.834–0.888). Within a single age tertile the range of age is compressed to about two decades, so the model's second most important predictor can no longer separate participants within that stratum, and a prevalence of 72.7% leaves few negatives to rank against. Calibration behaved differently: only the middle tertile departed detectably from ideal on both statistics (slope 1.19, 1.018–1.388; observed-to-expected 0.902, 0.845–0.964), with women showing a smaller over-prediction (0.943, 0.900–0.993); in the oldest tertile predicted risk was accurate in aggregate (1.011, 0.971–1.052). These are descriptive screens over 22 intervals without multiplicity adjustment. The model is therefore least useful for ranking precisely the group with the highest absolute burden, while still stating that group's average risk correctly.</w:t>
      </w:r>
    </w:p>
    <w:p>
      <w:pPr>
        <w:spacing w:after="0"/>
        <w:ind w:firstLine="432"/>
        <w:jc w:val="both"/>
      </w:pPr>
      <w:r>
        <w:rPr>
          <w:rFonts w:ascii="Times New Roman" w:hAnsi="Times New Roman" w:cs="Times New Roman" w:eastAsia="Times New Roman"/>
          <w:b w:val="0"/>
          <w:i w:val="0"/>
          <w:sz w:val="24"/>
        </w:rPr>
        <w:t>Results of the four prespecified sensitivity analyses are given in Table S7. Adding physician-diagnosed diabetes raised cross-validated discrimination by 0.0099 to 0.0128 AUROC units, as expected for a variable partly downstream of the glucose component. Replacing SMOTENC with class weighting changed discrimination by at most 0.0010 units, confirming that the imbalance strategy is immaterial at this near-balanced prevalence. Substituting the measured-value-only outcome definition lowered discrimination by 0.0289 to 0.0338 units, the largest effect of the four. The metal-panel analysis produced the most consequential result: restricting the panel to blood lead alone and discarding cadmium, mercury, selenium and manganese changed discrimination by between +0.0002 and +0.0011 units (marginally upward in all three models, not downward). Deltas this small sit within run-to-run variability of the cross-validation and carry no confidence intervals, so this is an absence of detectable contribution rather than a demonstration of exactly zero. The four additional metals add nothing measurable to discrimination: the ranking positions they occupy reflect within-model attribution, not predictive value that would be lost by removing them. No arm removed lead itself, so its own incremental contribution was not tested by this design.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