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Supplementary Material</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line="240" w:lineRule="auto" w:before="80" w:after="160"/>
        <w:jc w:val="left"/>
      </w:pPr>
      <w:r>
        <w:rPr>
          <w:rFonts w:ascii="Times New Roman" w:hAnsi="Times New Roman" w:cs="Times New Roman" w:eastAsia="Times New Roman"/>
          <w:b/>
          <w:i w:val="0"/>
          <w:sz w:val="20"/>
        </w:rPr>
        <w:t xml:space="preserve">Table S1. </w:t>
      </w:r>
      <w:r>
        <w:rPr>
          <w:rFonts w:ascii="Times New Roman" w:hAnsi="Times New Roman" w:cs="Times New Roman" w:eastAsia="Times New Roman"/>
          <w:b w:val="0"/>
          <w:i w:val="0"/>
          <w:sz w:val="20"/>
        </w:rPr>
        <w:t>Predictor dictionary. Each NHANES item code is given with a plain description of what the item records, its coding in this analysis, and the number of model columns it contributes after encoding (total 33). Categorical variables with more than two levels were one-hot encoded with the stated reference category omitted.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5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Domain</w:t>
            </w:r>
          </w:p>
        </w:tc>
        <w:tc>
          <w:tcPr>
            <w:tcW w:type="dxa" w:w="1267"/>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NHANES code</w:t>
            </w:r>
          </w:p>
        </w:tc>
        <w:tc>
          <w:tcPr>
            <w:tcW w:type="dxa" w:w="367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What the item records</w:t>
            </w:r>
          </w:p>
        </w:tc>
        <w:tc>
          <w:tcPr>
            <w:tcW w:type="dxa" w:w="2189"/>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Coding</w:t>
            </w:r>
          </w:p>
        </w:tc>
        <w:tc>
          <w:tcPr>
            <w:tcW w:type="dxa" w:w="576"/>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Cols</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metals</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LBXBPB</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lead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µg/dL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LBXBCD</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cadmium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LBXTHG</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total mercury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LBXBSE</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selenium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LBXBMN</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manganese concentration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µg/L</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Demographic and socioeconomic</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RIDAGEYR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at screening</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years</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RIAGENDR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Sex</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(female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RIDRETH1</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Race/Hispanic origin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One-hot; Mexican American = reference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DMDEDUC2</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Highest education level completed (adults)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1–5 (&lt;9th grade → college graduate)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DMDMARTL</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Marital status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One-hot; married = reference</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DMDHHSIZ</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Total number of people in the household</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count</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INDFMPIR</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Ratio of family income to the federal poverty threshold</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0–5</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RIDEXMON</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Six-month period in which the examination took place</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(May–October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Anthropometric</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BMXBMI</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Body mass index from measured height and weight</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kg/m²</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Lifestyle</w:t>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SMQ020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Smoked at least 100 cigarettes in life</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SMQ040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Current cigarette smoking frequency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recoded 0 = not at all, 1 = some days, 2 = every 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ALQ101 / ALQ111</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Alcohol gatekeeper item, harmonized across cycles: "had at least 12 alcoholic drinks in any one year" (2007–2016) and "ever had a drink of any kind of alcohol" (2017–2018)</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(ever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ALQ130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Average number of alcoholic drinks per day on drinking days, past 12 months</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drinks/day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DBQ700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Self-rated overall diet quality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Ordinal 1–5 (excellent → poor)</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PAQ605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Vigorous-intensity activity as part of work</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PAQ650</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Vigorous-intensity recreational activity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PAQ665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Moderate-intensity recreational activity</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Binary (yes = 1)</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PAD645</w:t>
            </w:r>
          </w:p>
        </w:tc>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Minutes spent walking or bicycling for transportation on a typical day (gated on PAQ635, "walk or use a bicycle for transportation")</w:t>
            </w:r>
          </w:p>
        </w:tc>
        <w:tc>
          <w:tcPr>
            <w:tcW w:type="dxa" w:w="2189"/>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Continuous, minutes/day</w:t>
            </w:r>
          </w:p>
        </w:tc>
        <w:tc>
          <w:tcPr>
            <w:tcW w:type="dxa" w:w="57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r>
        <w:trPr>
          <w:cantSplit/>
        </w:trPr>
        <w:tc>
          <w:tcPr>
            <w:tcW w:type="dxa" w:w="15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r>
          </w:p>
        </w:tc>
        <w:tc>
          <w:tcPr>
            <w:tcW w:type="dxa" w:w="1267"/>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BPXPLS</w:t>
            </w:r>
          </w:p>
        </w:tc>
        <w:tc>
          <w:tcPr>
            <w:tcW w:type="dxa" w:w="367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Resting pulse, 60-second count</w:t>
            </w:r>
          </w:p>
        </w:tc>
        <w:tc>
          <w:tcPr>
            <w:tcW w:type="dxa" w:w="2189"/>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Continuous, beats/min</w:t>
            </w:r>
          </w:p>
        </w:tc>
        <w:tc>
          <w:tcPr>
            <w:tcW w:type="dxa" w:w="576"/>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r>
    </w:tbl>
    <w:p>
      <w:pPr>
        <w:spacing w:line="240" w:lineRule="auto" w:before="80" w:after="280"/>
      </w:pPr>
      <w:r>
        <w:rPr>
          <w:rFonts w:ascii="Times New Roman" w:hAnsi="Times New Roman" w:cs="Times New Roman" w:eastAsia="Times New Roman"/>
          <w:b w:val="0"/>
          <w:i w:val="0"/>
          <w:sz w:val="18"/>
        </w:rPr>
        <w:t>Survey modules used, all merged on the respondent sequence number (SEQN): demographics (DEMO), body measures (BMX), blood pressure (BPX), triglycerides (TRIGLY), HDL cholesterol (HDL), plasma fasting glucose (GLU), blood lead–cadmium–mercury–selenium–manganese (PBCD), alcohol use (ALQ), diet behavior (DBQ), smoking (SMQ), diabetes (DIQ), physical activity (PAQ), and blood pressure and cholesterol (BPQ). Hip circumference (BMXHIP) and physician-diagnosed diabetes (DIQ010) were screened but not retained in the primary predictor set.</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S2. </w:t>
      </w:r>
      <w:r>
        <w:rPr>
          <w:rFonts w:ascii="Times New Roman" w:hAnsi="Times New Roman" w:cs="Times New Roman" w:eastAsia="Times New Roman"/>
          <w:b w:val="0"/>
          <w:i w:val="0"/>
          <w:sz w:val="20"/>
        </w:rPr>
        <w:t>Metabolic syndrome component definitions. A component is scored positive when either the measured criterion or the drug-treatment criterion is met, following the harmonized joint interim statement [5] and the earlier AHA/NHLBI thresholds [6]. Participants meeting at least three of five components were classified as cases.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613"/>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Component</w:t>
            </w:r>
          </w:p>
        </w:tc>
        <w:tc>
          <w:tcPr>
            <w:tcW w:type="dxa" w:w="2765"/>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Measured criterion</w:t>
            </w:r>
          </w:p>
        </w:tc>
        <w:tc>
          <w:tcPr>
            <w:tcW w:type="dxa" w:w="1368"/>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NHANES variable</w:t>
            </w:r>
          </w:p>
        </w:tc>
        <w:tc>
          <w:tcPr>
            <w:tcW w:type="dxa" w:w="3470"/>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Drug-treatment criterion</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Abdominal obesity</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Waist circumference ≥ 102 cm (men) or ≥ 88 cm (women)</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BMXWAIST</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Not applicable</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Elevated triglycerides</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Triglycerides ≥ 150 mg/dL</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LBXTR</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BPQ100D (currently taking prescribed medicine for cholesterol)</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Reduced HDL cholesterol</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HDL-C &lt; 40 mg/dL (men) or &lt; 50 mg/dL (women)</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LBDHDD</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BPQ100D (currently taking prescribed medicine for cholesterol)</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Elevated blood pressure</w:t>
            </w:r>
          </w:p>
        </w:tc>
        <w:tc>
          <w:tcPr>
            <w:tcW w:type="dxa" w:w="2765"/>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Systolic ≥ 130 mmHg or diastolic ≥ 85 mmHg</w:t>
            </w:r>
          </w:p>
        </w:tc>
        <w:tc>
          <w:tcPr>
            <w:tcW w:type="dxa" w:w="136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BPXSY1, BPXDI1</w:t>
            </w:r>
          </w:p>
        </w:tc>
        <w:tc>
          <w:tcPr>
            <w:tcW w:type="dxa" w:w="347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BPQ050A (currently taking prescribed medicine for hypertension)</w:t>
            </w:r>
          </w:p>
        </w:tc>
      </w:tr>
      <w:tr>
        <w:trPr>
          <w:cantSplit/>
        </w:trPr>
        <w:tc>
          <w:tcPr>
            <w:tcW w:type="dxa" w:w="1613"/>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Elevated fasting glucose</w:t>
            </w:r>
          </w:p>
        </w:tc>
        <w:tc>
          <w:tcPr>
            <w:tcW w:type="dxa" w:w="2765"/>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Fasting plasma glucose ≥ 100 mg/dL</w:t>
            </w:r>
          </w:p>
        </w:tc>
        <w:tc>
          <w:tcPr>
            <w:tcW w:type="dxa" w:w="1368"/>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LBXGLU</w:t>
            </w:r>
          </w:p>
        </w:tc>
        <w:tc>
          <w:tcPr>
            <w:tcW w:type="dxa" w:w="3470"/>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DIQ050 (currently taking insulin); DIQ070 (taking pills to lower blood sugar)</w:t>
            </w:r>
          </w:p>
        </w:tc>
      </w:tr>
    </w:tbl>
    <w:p>
      <w:pPr>
        <w:spacing w:line="240" w:lineRule="auto" w:before="80" w:after="280"/>
      </w:pPr>
      <w:r>
        <w:rPr>
          <w:rFonts w:ascii="Times New Roman" w:hAnsi="Times New Roman" w:cs="Times New Roman" w:eastAsia="Times New Roman"/>
          <w:b w:val="0"/>
          <w:i w:val="0"/>
          <w:sz w:val="18"/>
        </w:rPr>
        <w:t>HDL-C, high-density lipoprotein cholesterol. NHANES carries only one cholesterol-medication item in the cycles used here and does not distinguish HDL-specific from triglyceride-specific treatment, so BPQ100D is applied to both lipid components. Component measurements and medication items were used solely to construct the outcome and were excluded from the predictor set.</w:t>
      </w:r>
    </w:p>
    <w:p>
      <w:pPr>
        <w:keepNext/>
        <w:spacing w:line="240" w:lineRule="auto" w:before="80" w:after="160"/>
        <w:jc w:val="left"/>
      </w:pPr>
      <w:r>
        <w:rPr>
          <w:rFonts w:ascii="Times New Roman" w:hAnsi="Times New Roman" w:cs="Times New Roman" w:eastAsia="Times New Roman"/>
          <w:b/>
          <w:i w:val="0"/>
          <w:sz w:val="20"/>
        </w:rPr>
        <w:t xml:space="preserve">Table S3. </w:t>
      </w:r>
      <w:r>
        <w:rPr>
          <w:rFonts w:ascii="Times New Roman" w:hAnsi="Times New Roman" w:cs="Times New Roman" w:eastAsia="Times New Roman"/>
          <w:b w:val="0"/>
          <w:i w:val="0"/>
          <w:sz w:val="20"/>
        </w:rPr>
        <w:t xml:space="preserve">Hyperparameter search space, selected configuration and cross-validated discrimination for each algorithm. Configurations were chosen by randomized search (capped at 12 configurations; smaller grids searched exhaustively) with 10-fold stratified cross-validation on the training partition, optimizing AUROC. </w:t>
      </w:r>
      <w:r>
        <w:rPr>
          <w:rFonts w:ascii="Times New Roman" w:hAnsi="Times New Roman" w:cs="Times New Roman" w:eastAsia="Times New Roman"/>
          <w:b w:val="0"/>
          <w:i/>
          <w:sz w:val="20"/>
        </w:rPr>
        <w:t>These values are tuning-selection statistics and are optimistically biased; test-partition performance is reported in the main text.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613"/>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Algorithm</w:t>
            </w:r>
          </w:p>
        </w:tc>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Search space</w:t>
            </w:r>
          </w:p>
        </w:tc>
        <w:tc>
          <w:tcPr>
            <w:tcW w:type="dxa" w:w="295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5"/>
              </w:rPr>
              <w:t>Selected configuration</w:t>
            </w:r>
          </w:p>
        </w:tc>
        <w:tc>
          <w:tcPr>
            <w:tcW w:type="dxa" w:w="97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5"/>
              </w:rPr>
              <w:t>CV AUROC</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CatBoost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iterations ∈ {200, 500}; learning_rate ∈ {0.01, 0.05, 0.1}; depth ∈ {4, 6}</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learning_rate = 0.05, iterations = 200, depth = 6</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0.8463</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XGBoost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learning_rate ∈ {0.01, 0.05, 0.1}; max_depth ∈ {3, 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max_depth = 3, learning_rate = 0.05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0.8446</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Gradient Boosting</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{100, 200}; learning_rate ∈ {0.01, 0.1}; max_depth ∈ {2, 3}</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max_depth = 2, learning_rate = 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0.8443</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LightGBM</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learning_rate ∈ {0.01, 0.05, 0.1}; num_leaves ∈ {15, 31}</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num_leaves = 15, n_estimators = 500, learning_rate = 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0.8438</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SVM</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 ∈ {0.1, 1, 10}; kernel ∈ {RBF, linear}</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kernel = rbf, C = 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0.8398</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Logistic Regression</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C ∈ {0.01, 0.1, 1, 10}; penalty = L2</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penalty = l2, C = 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0.8396</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Random Forest</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{200, 500}; max_depth ∈ {None, 8, 15}; min_samples_leaf ∈ {1, 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n_estimators = 500, min_samples_leaf = 5, max_depth = None</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0.8377</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Decision Tree</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max_depth ∈ {3, 5, 8, None}; min_samples_leaf ∈ {1, 5, 20}</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min_samples_leaf = 20, max_depth = 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0.8238</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KNN</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n_neighbors ∈ {5, 15, 25}</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n_neighbors = 25</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0.7991</w:t>
            </w:r>
          </w:p>
        </w:tc>
      </w:tr>
      <w:tr>
        <w:trPr>
          <w:cantSplit/>
        </w:trPr>
        <w:tc>
          <w:tcPr>
            <w:tcW w:type="dxa" w:w="1613"/>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MLP</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hidden_layer_sizes ∈ {(64), (64, 32)}; alpha ∈ {0.0001, 0.001}</w:t>
            </w:r>
          </w:p>
        </w:tc>
        <w:tc>
          <w:tcPr>
            <w:tcW w:type="dxa" w:w="295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5"/>
              </w:rPr>
              <w:t>hidden_layer_sizes = (64), alpha = 0.001</w:t>
            </w:r>
          </w:p>
        </w:tc>
        <w:tc>
          <w:tcPr>
            <w:tcW w:type="dxa" w:w="97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5"/>
              </w:rPr>
              <w:t>0.7943</w:t>
            </w:r>
          </w:p>
        </w:tc>
      </w:tr>
      <w:tr>
        <w:trPr>
          <w:cantSplit/>
        </w:trPr>
        <w:tc>
          <w:tcPr>
            <w:tcW w:type="dxa" w:w="1613"/>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Naive Bayes</w:t>
            </w:r>
          </w:p>
        </w:tc>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none (no hyperparameters searched)</w:t>
            </w:r>
          </w:p>
        </w:tc>
        <w:tc>
          <w:tcPr>
            <w:tcW w:type="dxa" w:w="295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5"/>
              </w:rPr>
              <w:t>—</w:t>
            </w:r>
          </w:p>
        </w:tc>
        <w:tc>
          <w:tcPr>
            <w:tcW w:type="dxa" w:w="97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5"/>
              </w:rPr>
              <w:t>0.7472</w:t>
            </w:r>
          </w:p>
        </w:tc>
      </w:tr>
    </w:tbl>
    <w:p>
      <w:pPr>
        <w:keepNext/>
        <w:spacing w:line="240" w:lineRule="auto" w:before="80" w:after="160"/>
        <w:jc w:val="left"/>
        <w:pageBreakBefore w:val="true"/>
      </w:pPr>
      <w:r>
        <w:rPr>
          <w:rFonts w:ascii="Times New Roman" w:hAnsi="Times New Roman" w:cs="Times New Roman" w:eastAsia="Times New Roman"/>
          <w:b/>
          <w:i w:val="0"/>
          <w:sz w:val="20"/>
        </w:rPr>
        <w:t xml:space="preserve">Table S4. </w:t>
      </w:r>
      <w:r>
        <w:rPr>
          <w:rFonts w:ascii="Times New Roman" w:hAnsi="Times New Roman" w:cs="Times New Roman" w:eastAsia="Times New Roman"/>
          <w:b w:val="0"/>
          <w:i w:val="0"/>
          <w:sz w:val="20"/>
        </w:rPr>
        <w:t>Classification performance on the held-out test partition at the decision threshold selected by maximizing the Youden index on out-of-fold training predictions, and at the conventional 0.5 cut-point for comparison. All values except the threshold, F1 and κ are percentages.</w:t>
      </w:r>
    </w:p>
    <w:tbl>
      <w:tblPr>
        <w:tblW w:type="auto" w:w="0"/>
        <w:jc w:val="center"/>
        <w:tblLayout w:type="fixed"/>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val="true"/>
          <w:cantSplit/>
        </w:trPr>
        <w:tc>
          <w:tcPr>
            <w:tcW w:type="dxa" w:w="15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4"/>
              </w:rPr>
              <w:t>Model</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Thresh.</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Acc.</w:t>
            </w:r>
          </w:p>
        </w:tc>
        <w:tc>
          <w:tcPr>
            <w:tcW w:type="dxa" w:w="66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Sens.</w:t>
            </w:r>
          </w:p>
        </w:tc>
        <w:tc>
          <w:tcPr>
            <w:tcW w:type="dxa" w:w="66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Spec.</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PPV</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NPV</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F1</w:t>
            </w:r>
          </w:p>
        </w:tc>
        <w:tc>
          <w:tcPr>
            <w:tcW w:type="dxa" w:w="63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κ</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Acc.₀.₅</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Sens.₀.₅</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4"/>
              </w:rPr>
              <w:t>Spec.₀.₅</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CatBoost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77.4</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75.3</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0.546</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LightGBM</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0.510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77.6</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0.540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75.4</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XGBoost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0.506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78.9</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73.9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0.763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0.546</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79.1</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75.5</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Gradient Boosting</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0.518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76.6</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79.3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0.539</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76.9</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77.9</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76.1</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SVM</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0.444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75.7</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81.7</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70.6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70.6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81.7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0.757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0.517</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74.6</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Logistic Regression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0.457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76.7</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82.0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72.2</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71.8</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82.3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0.765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0.536</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76.7</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76.2</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Random Forest</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0.499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75.2</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78.3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0.747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0.525</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76.4</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75.2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77.3</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Decision Tree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0.493</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74.2</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81.0</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68.4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68.9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0.745</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0.488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81.0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68.4</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MLP</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0.449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72.4</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76.9</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68.6</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67.9</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77.4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0.721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0.450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72.6</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74.7</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70.7</w:t>
            </w:r>
          </w:p>
        </w:tc>
      </w:tr>
      <w:tr>
        <w:trPr>
          <w:cantSplit/>
        </w:trPr>
        <w:tc>
          <w:tcPr>
            <w:tcW w:type="dxa" w:w="15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4"/>
              </w:rPr>
              <w:t>KNN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0.520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72.8</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80.9</w:t>
            </w:r>
          </w:p>
        </w:tc>
        <w:tc>
          <w:tcPr>
            <w:tcW w:type="dxa" w:w="66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65.7</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67.1</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80.0</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0.734</w:t>
            </w:r>
          </w:p>
        </w:tc>
        <w:tc>
          <w:tcPr>
            <w:tcW w:type="dxa" w:w="63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0.460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72.8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80.9</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4"/>
              </w:rPr>
              <w:t>65.7</w:t>
            </w:r>
          </w:p>
        </w:tc>
      </w:tr>
      <w:tr>
        <w:trPr>
          <w:cantSplit/>
        </w:trPr>
        <w:tc>
          <w:tcPr>
            <w:tcW w:type="dxa" w:w="15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4"/>
              </w:rPr>
              <w:t>Naive Bayes</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0.623</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66.3</w:t>
            </w:r>
          </w:p>
        </w:tc>
        <w:tc>
          <w:tcPr>
            <w:tcW w:type="dxa" w:w="66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56.8</w:t>
            </w:r>
          </w:p>
        </w:tc>
        <w:tc>
          <w:tcPr>
            <w:tcW w:type="dxa" w:w="66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74.6</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65.9</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66.7</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0.610</w:t>
            </w:r>
          </w:p>
        </w:tc>
        <w:tc>
          <w:tcPr>
            <w:tcW w:type="dxa" w:w="63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0.317</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66.1</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61.8</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4"/>
              </w:rPr>
              <w:t>69.8</w:t>
            </w:r>
          </w:p>
        </w:tc>
      </w:tr>
    </w:tbl>
    <w:p>
      <w:pPr>
        <w:spacing w:line="240" w:lineRule="auto" w:before="80" w:after="280"/>
      </w:pPr>
      <w:r>
        <w:rPr>
          <w:rFonts w:ascii="Times New Roman" w:hAnsi="Times New Roman" w:cs="Times New Roman" w:eastAsia="Times New Roman"/>
          <w:b w:val="0"/>
          <w:i w:val="0"/>
          <w:sz w:val="18"/>
        </w:rPr>
        <w:t>Acc., accuracy; Sens., sensitivity; Spec., specificity; PPV, positive predictive value; NPV, negative predictive value; κ, Cohen's kappa. Subscript 0.5 denotes the conventional cut-point. Thresholds were selected without reference to the test partition.</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S5. </w:t>
      </w:r>
      <w:r>
        <w:rPr>
          <w:rFonts w:ascii="Times New Roman" w:hAnsi="Times New Roman" w:cs="Times New Roman" w:eastAsia="Times New Roman"/>
          <w:b w:val="0"/>
          <w:i w:val="0"/>
          <w:sz w:val="20"/>
        </w:rPr>
        <w:t>The fifteen highest-ranked predictors by mean absolute SHAP value, with their permutation-importance values and ranks for comparison. Both methods are applied to the CatBoost model on the held-out test partition and both rank over the same 33 predictors.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2808"/>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Predictor</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Mean |SHAP|</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SHAP rank</w:t>
            </w:r>
          </w:p>
        </w:tc>
        <w:tc>
          <w:tcPr>
            <w:tcW w:type="dxa" w:w="233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Permutation Δ AUROC (mean ± SD)</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Perm. rank</w:t>
            </w:r>
          </w:p>
        </w:tc>
        <w:tc>
          <w:tcPr>
            <w:tcW w:type="dxa" w:w="103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Above noise</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Body mass index (kg/m²)</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1.0254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0.16034 ± 0.00822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(years)</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0.9913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0.15632 ± 0.00667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Vigorous recreational activity</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0.1941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0.00191 ± 0.00129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Resting pulse (60 sec)</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0.1644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0.00845 ± 0.00113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Race/ethnicity: Non-Hispanic Black</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0.0796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0.00212 ± 0.00071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Self-rated diet quality</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0.0747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6</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0.00130 ± 0.00076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Marital status: Never married</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0.0672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−0.00047 ± 0.00049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Education level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0.0630</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8</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0.00062 ± 0.00044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Race/ethnicity: Other/Multi-Racial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0.0462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9</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0.00162 ± 0.00037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cadmium (µg/L)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0.0437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0.00013 ± 0.00058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lead (µg/dL)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0.0391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0.00123 ± 0.00044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9</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selenium (µg/L)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0.0388</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12</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0.00069 ± 0.00023</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Sex: Female</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0.0377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13</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0.00254 ± 0.00056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yes</w:t>
            </w:r>
          </w:p>
        </w:tc>
      </w:tr>
      <w:tr>
        <w:trPr>
          <w:cantSplit/>
        </w:trPr>
        <w:tc>
          <w:tcPr>
            <w:tcW w:type="dxa" w:w="2808"/>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Blood mercury, total (µg/L)</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0.0362</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14</w:t>
            </w:r>
          </w:p>
        </w:tc>
        <w:tc>
          <w:tcPr>
            <w:tcW w:type="dxa" w:w="233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−0.00000 ± 0.00046</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27</w:t>
            </w:r>
          </w:p>
        </w:tc>
        <w:tc>
          <w:tcPr>
            <w:tcW w:type="dxa" w:w="103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r>
        <w:trPr>
          <w:cantSplit/>
        </w:trPr>
        <w:tc>
          <w:tcPr>
            <w:tcW w:type="dxa" w:w="2808"/>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Income-to-poverty ratio</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0.0349</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15</w:t>
            </w:r>
          </w:p>
        </w:tc>
        <w:tc>
          <w:tcPr>
            <w:tcW w:type="dxa" w:w="233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0.00009 ± 0.00039</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19</w:t>
            </w:r>
          </w:p>
        </w:tc>
        <w:tc>
          <w:tcPr>
            <w:tcW w:type="dxa" w:w="103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no</w:t>
            </w:r>
          </w:p>
        </w:tc>
      </w:tr>
    </w:tbl>
    <w:p>
      <w:pPr>
        <w:spacing w:line="240" w:lineRule="auto" w:before="80" w:after="280"/>
      </w:pPr>
      <w:r>
        <w:rPr>
          <w:rFonts w:ascii="Times New Roman" w:hAnsi="Times New Roman" w:cs="Times New Roman" w:eastAsia="Times New Roman"/>
          <w:b w:val="0"/>
          <w:i w:val="0"/>
          <w:sz w:val="18"/>
        </w:rPr>
        <w:t xml:space="preserve">Permutation Δ AUROC is the mean decrease in test-set AUROC over ten permutations of the predictor, with the standard deviation across those permutations. </w:t>
      </w:r>
      <w:r>
        <w:rPr>
          <w:rFonts w:ascii="Times New Roman" w:hAnsi="Times New Roman" w:cs="Times New Roman" w:eastAsia="Times New Roman"/>
          <w:b w:val="0"/>
          <w:i/>
          <w:sz w:val="18"/>
        </w:rPr>
        <w:t>Above noise</w:t>
      </w:r>
      <w:r>
        <w:rPr>
          <w:rFonts w:ascii="Times New Roman" w:hAnsi="Times New Roman" w:cs="Times New Roman" w:eastAsia="Times New Roman"/>
          <w:b w:val="0"/>
          <w:i w:val="0"/>
          <w:sz w:val="18"/>
        </w:rPr>
        <w:t xml:space="preserve"> is a descriptive heuristic, not a hypothesis test: it flags predictors whose mean exceeds one permutation standard deviation, a roughly one-sigma bar reflecting permutation variability only and not sampling variability of the test partition. Only 11 of these fifteen clear it, so ranks below the leading few should not be read as a resolved ordering. A negative value means permuting the predictor left discrimination unchanged or marginally improved it. Two of the 33 columns (the missing-category indicators for race/ethnicity and marital status) are constant or near-constant and receive exactly zero importance under both methods; under SHAP they fall to the bottom (joint rank 32), but under permutation importance an exact zero ranks above the seven predictors with negative importance, placing them at joint rank 25 of 33 and pushing genuinely uninformative predictors such as mercury below them.</w:t>
      </w:r>
    </w:p>
    <w:p>
      <w:pPr>
        <w:keepNext/>
        <w:spacing w:line="240" w:lineRule="auto" w:before="80" w:after="160"/>
        <w:jc w:val="left"/>
        <w:pageBreakBefore w:val="true"/>
      </w:pPr>
      <w:r>
        <w:rPr>
          <w:rFonts w:ascii="Times New Roman" w:hAnsi="Times New Roman" w:cs="Times New Roman" w:eastAsia="Times New Roman"/>
          <w:b/>
          <w:i w:val="0"/>
          <w:sz w:val="20"/>
        </w:rPr>
        <w:t xml:space="preserve">Table S6. </w:t>
      </w:r>
      <w:r>
        <w:rPr>
          <w:rFonts w:ascii="Times New Roman" w:hAnsi="Times New Roman" w:cs="Times New Roman" w:eastAsia="Times New Roman"/>
          <w:b w:val="0"/>
          <w:i w:val="0"/>
          <w:sz w:val="20"/>
        </w:rPr>
        <w:t>Discrimination and calibration of the CatBoost model within subgroups of the held-out test partition. Calibration is reported alongside discrimination because a model can rank participants poorly within a stratum while still stating their absolute risk correctly, and the two have different consequences in use.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87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Subgroup</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n</w:t>
            </w:r>
          </w:p>
        </w:tc>
        <w:tc>
          <w:tcPr>
            <w:tcW w:type="dxa" w:w="893"/>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Prev. (%)</w:t>
            </w:r>
          </w:p>
        </w:tc>
        <w:tc>
          <w:tcPr>
            <w:tcW w:type="dxa" w:w="2045"/>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AUROC (95% CI)</w:t>
            </w:r>
          </w:p>
        </w:tc>
        <w:tc>
          <w:tcPr>
            <w:tcW w:type="dxa" w:w="198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slope (95% CI)</w:t>
            </w:r>
          </w:p>
        </w:tc>
        <w:tc>
          <w:tcPr>
            <w:tcW w:type="dxa" w:w="1987"/>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O:E ratio (95% CI)</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Overall</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2,229</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46.3</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0.857 (0.840–0.872)</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 (0.97–1.15)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0.970 (0.935–1.000)</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Male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1,094</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47.6</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0.848 (0.824–0.869)</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1.05 (0.93–1.20)</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0.997 (0.949–1.045)</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Female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1,135</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45.1</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0.865 (0.842–0.885)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1.08 (0.96–1.21)</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0.943 (0.900–0.993)</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20–40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763</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23.1</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0.861 (0.834–0.888)</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1.14 (0.98–1.34)</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0.995 (0.894–1.111)</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41–60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755</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45.0</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0.826 (0.794–0.855)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1.19 (1.02–1.39)</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0.902 (0.845–0.964)</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Age &gt; 60 y</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711</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72.7</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0.741 (0.701–0.783)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0.88 (0.71–1.07)</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1.011 (0.971–1.052)</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Non-Hispanic White</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877</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50.7</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0.850 (0.826–0.874)</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1.08 (0.96–1.23)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0.975 (0.924–1.024)</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Mexican American</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363</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45.5</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0.864 (0.827–0.900)</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1.10 (0.88–1.40)</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0.947 (0.864–1.031)</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Non-Hispanic Black</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478</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43.5</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0.840 (0.805–0.875)</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0.96 (0.80–1.18)</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0.955 (0.883–1.035)</w:t>
            </w:r>
          </w:p>
        </w:tc>
      </w:tr>
      <w:tr>
        <w:trPr>
          <w:cantSplit/>
        </w:trPr>
        <w:tc>
          <w:tcPr>
            <w:tcW w:type="dxa" w:w="18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Other Hispanic</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236</w:t>
            </w:r>
          </w:p>
        </w:tc>
        <w:tc>
          <w:tcPr>
            <w:tcW w:type="dxa" w:w="893"/>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49.6</w:t>
            </w:r>
          </w:p>
        </w:tc>
        <w:tc>
          <w:tcPr>
            <w:tcW w:type="dxa" w:w="204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0.862 (0.816–0.906)</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1.16 (0.91–1.53)</w:t>
            </w:r>
          </w:p>
        </w:tc>
        <w:tc>
          <w:tcPr>
            <w:tcW w:type="dxa" w:w="1987"/>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0.988 (0.889–1.086)</w:t>
            </w:r>
          </w:p>
        </w:tc>
      </w:tr>
      <w:tr>
        <w:trPr>
          <w:cantSplit/>
        </w:trPr>
        <w:tc>
          <w:tcPr>
            <w:tcW w:type="dxa" w:w="187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Other/Multi-racial</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275</w:t>
            </w:r>
          </w:p>
        </w:tc>
        <w:tc>
          <w:tcPr>
            <w:tcW w:type="dxa" w:w="893"/>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35.6</w:t>
            </w:r>
          </w:p>
        </w:tc>
        <w:tc>
          <w:tcPr>
            <w:tcW w:type="dxa" w:w="2045"/>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0.878 (0.832–0.919)</w:t>
            </w:r>
          </w:p>
        </w:tc>
        <w:tc>
          <w:tcPr>
            <w:tcW w:type="dxa" w:w="198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1.09 (0.84–1.49)</w:t>
            </w:r>
          </w:p>
        </w:tc>
        <w:tc>
          <w:tcPr>
            <w:tcW w:type="dxa" w:w="1987"/>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0.995 (0.871–1.127)</w:t>
            </w:r>
          </w:p>
        </w:tc>
      </w:tr>
    </w:tbl>
    <w:p>
      <w:pPr>
        <w:spacing w:line="240" w:lineRule="auto" w:before="80" w:after="280"/>
      </w:pPr>
      <w:r>
        <w:rPr>
          <w:rFonts w:ascii="Times New Roman" w:hAnsi="Times New Roman" w:cs="Times New Roman" w:eastAsia="Times New Roman"/>
          <w:b w:val="0"/>
          <w:i w:val="0"/>
          <w:sz w:val="18"/>
        </w:rPr>
        <w:t>Cal. slope, calibration slope, describing dispersion of the predictions (1.00 = perfect); O:E, ratio of observed to expected outcome frequency, describing calibration in the large (1.00 = perfect). All intervals come from the same 1,000 percentile bootstrap resamples, with the calibration model refitted in each. Slope and O:E answer different questions and are not interchangeable. Age groups are tertiles of the test-partition age distribution. Subgroups are nested within the overall sample, so their intervals are not independent of the overall row and should not be used to test against it.</w:t>
      </w:r>
    </w:p>
    <w:p>
      <w:pPr>
        <w:keepNext/>
        <w:spacing w:line="240" w:lineRule="auto" w:before="80" w:after="160"/>
        <w:jc w:val="left"/>
      </w:pPr>
      <w:r>
        <w:rPr>
          <w:rFonts w:ascii="Times New Roman" w:hAnsi="Times New Roman" w:cs="Times New Roman" w:eastAsia="Times New Roman"/>
          <w:b/>
          <w:i w:val="0"/>
          <w:sz w:val="20"/>
        </w:rPr>
        <w:t xml:space="preserve">Table S7. </w:t>
      </w:r>
      <w:r>
        <w:rPr>
          <w:rFonts w:ascii="Times New Roman" w:hAnsi="Times New Roman" w:cs="Times New Roman" w:eastAsia="Times New Roman"/>
          <w:b w:val="0"/>
          <w:i w:val="0"/>
          <w:sz w:val="20"/>
        </w:rPr>
        <w:t xml:space="preserve">Prespecified sensitivity analyses. Each entry is the mean AUROC from 10-fold stratified cross-validation on the training partition, using the three leading algorithms at their default hyperparameter configurations so that the comparison between arms is not confounded by re-tuning. </w:t>
      </w:r>
      <w:r>
        <w:rPr>
          <w:rFonts w:ascii="Times New Roman" w:hAnsi="Times New Roman" w:cs="Times New Roman" w:eastAsia="Times New Roman"/>
          <w:b w:val="0"/>
          <w:i/>
          <w:sz w:val="20"/>
        </w:rPr>
        <w:t>Absolute values are consequently lower than the tuned values in Table S3 and are not comparable to them; the difference between arms is the quantity of interest.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331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7"/>
              </w:rPr>
              <w:t>Analysis</w:t>
            </w:r>
          </w:p>
        </w:tc>
        <w:tc>
          <w:tcPr>
            <w:tcW w:type="dxa" w:w="1800"/>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7"/>
              </w:rPr>
              <w:t>Model</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Primary</w:t>
            </w:r>
          </w:p>
        </w:tc>
        <w:tc>
          <w:tcPr>
            <w:tcW w:type="dxa" w:w="151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Alternative</w:t>
            </w:r>
          </w:p>
        </w:tc>
        <w:tc>
          <w:tcPr>
            <w:tcW w:type="dxa" w:w="115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7"/>
              </w:rPr>
              <w:t>Δ AUROC</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0.8416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0.8515</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+0.0099</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0.8186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0.8314</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+0.0128</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Add diagnosed diabetes</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Gradient Boosting</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0.8442</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0.8547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+0.0105</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0.8416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0.8420</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+0.0005</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0.8186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0.8196</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+0.0010</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Class weighting instead of SMOTENC</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Gradient Boosting</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0.8442</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not applicable</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0.8416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0.8427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+0.0011</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0.8186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0.8188</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+0.0002</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Lead only, other four metals dropped</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Gradient Boosting</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0.8442</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0.8445</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+0.0003</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CatBoost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0.8416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0.8097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-0.0319</w:t>
            </w:r>
          </w:p>
        </w:tc>
      </w:tr>
      <w:tr>
        <w:trPr>
          <w:cantSplit/>
        </w:trPr>
        <w:tc>
          <w:tcPr>
            <w:tcW w:type="dxa" w:w="331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7"/>
              </w:rPr>
              <w:t>XGBoost</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0.8186</w:t>
            </w:r>
          </w:p>
        </w:tc>
        <w:tc>
          <w:tcPr>
            <w:tcW w:type="dxa" w:w="151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0.7897</w:t>
            </w:r>
          </w:p>
        </w:tc>
        <w:tc>
          <w:tcPr>
            <w:tcW w:type="dxa" w:w="115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7"/>
              </w:rPr>
              <w:t>-0.0289</w:t>
            </w:r>
          </w:p>
        </w:tc>
      </w:tr>
      <w:tr>
        <w:trPr>
          <w:cantSplit/>
        </w:trPr>
        <w:tc>
          <w:tcPr>
            <w:tcW w:type="dxa" w:w="331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7"/>
              </w:rPr>
              <w:t>Measured-value-only outcome definition</w:t>
            </w:r>
          </w:p>
        </w:tc>
        <w:tc>
          <w:tcPr>
            <w:tcW w:type="dxa" w:w="1800"/>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7"/>
              </w:rPr>
              <w:t>Gradient Boosting</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0.8442</w:t>
            </w:r>
          </w:p>
        </w:tc>
        <w:tc>
          <w:tcPr>
            <w:tcW w:type="dxa" w:w="151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0.8104</w:t>
            </w:r>
          </w:p>
        </w:tc>
        <w:tc>
          <w:tcPr>
            <w:tcW w:type="dxa" w:w="115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7"/>
              </w:rPr>
              <w:t>-0.0338</w:t>
            </w:r>
          </w:p>
        </w:tc>
      </w:tr>
    </w:tbl>
    <w:p>
      <w:pPr>
        <w:spacing w:line="240" w:lineRule="auto" w:before="80" w:after="280"/>
      </w:pPr>
      <w:r>
        <w:rPr>
          <w:rFonts w:ascii="Times New Roman" w:hAnsi="Times New Roman" w:cs="Times New Roman" w:eastAsia="Times New Roman"/>
          <w:b w:val="0"/>
          <w:i w:val="0"/>
          <w:sz w:val="18"/>
        </w:rPr>
        <w:t>Δ AUROC is the alternative specification minus the primary, so a positive value indicates the alternative discriminated better. For the outcome-definition arm the primary specification is the harmonized definition used throughout, and the negative values indicate that the measured-value-only definition is harder to predict.</w:t>
      </w:r>
    </w:p>
    <w:p>
      <w:pPr>
        <w:keepNext/>
        <w:spacing w:before="200" w:after="0" w:line="240" w:lineRule="auto"/>
        <w:jc w:val="center"/>
        <w:pageBreakBefore w:val="true"/>
      </w:pPr>
      <w:r>
        <w:drawing>
          <wp:inline xmlns:a="http://schemas.openxmlformats.org/drawingml/2006/main" xmlns:pic="http://schemas.openxmlformats.org/drawingml/2006/picture">
            <wp:extent cx="5760720" cy="2566297"/>
            <wp:docPr id="1" name="Picture 1"/>
            <wp:cNvGraphicFramePr>
              <a:graphicFrameLocks noChangeAspect="1"/>
            </wp:cNvGraphicFramePr>
            <a:graphic>
              <a:graphicData uri="http://schemas.openxmlformats.org/drawingml/2006/picture">
                <pic:pic>
                  <pic:nvPicPr>
                    <pic:cNvPr id="0" name="figM1_analysis_pipeline.png"/>
                    <pic:cNvPicPr/>
                  </pic:nvPicPr>
                  <pic:blipFill>
                    <a:blip r:embed="rId9"/>
                    <a:stretch>
                      <a:fillRect/>
                    </a:stretch>
                  </pic:blipFill>
                  <pic:spPr>
                    <a:xfrm>
                      <a:off x="0" y="0"/>
                      <a:ext cx="5760720" cy="2566297"/>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S1. </w:t>
      </w:r>
      <w:r>
        <w:rPr>
          <w:rFonts w:ascii="Times New Roman" w:hAnsi="Times New Roman" w:cs="Times New Roman" w:eastAsia="Times New Roman"/>
          <w:b w:val="0"/>
          <w:i w:val="0"/>
          <w:sz w:val="20"/>
        </w:rPr>
        <w:t>Analysis pipeline. Stages 1–4 are performed once on the cohort. Every step in stage 5 is refitted independently inside each training fold during cross-validation, and inside the training partition alone for the final models, so that no quantity estimated from held-out data can influence a model later scored on it.</w:t>
      </w:r>
    </w:p>
    <w:p>
      <w:pPr>
        <w:keepNext/>
        <w:spacing w:before="200" w:after="0" w:line="240" w:lineRule="auto"/>
        <w:jc w:val="center"/>
      </w:pPr>
      <w:r>
        <w:drawing>
          <wp:inline xmlns:a="http://schemas.openxmlformats.org/drawingml/2006/main" xmlns:pic="http://schemas.openxmlformats.org/drawingml/2006/picture">
            <wp:extent cx="5760720" cy="2818250"/>
            <wp:docPr id="2" name="Picture 2"/>
            <wp:cNvGraphicFramePr>
              <a:graphicFrameLocks noChangeAspect="1"/>
            </wp:cNvGraphicFramePr>
            <a:graphic>
              <a:graphicData uri="http://schemas.openxmlformats.org/drawingml/2006/picture">
                <pic:pic>
                  <pic:nvPicPr>
                    <pic:cNvPr id="0" name="fig3_auc_forest.png"/>
                    <pic:cNvPicPr/>
                  </pic:nvPicPr>
                  <pic:blipFill>
                    <a:blip r:embed="rId10"/>
                    <a:stretch>
                      <a:fillRect/>
                    </a:stretch>
                  </pic:blipFill>
                  <pic:spPr>
                    <a:xfrm>
                      <a:off x="0" y="0"/>
                      <a:ext cx="5760720" cy="281825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S2. </w:t>
      </w:r>
      <w:r>
        <w:rPr>
          <w:rFonts w:ascii="Times New Roman" w:hAnsi="Times New Roman" w:cs="Times New Roman" w:eastAsia="Times New Roman"/>
          <w:b w:val="0"/>
          <w:i w:val="0"/>
          <w:sz w:val="20"/>
        </w:rPr>
        <w:t xml:space="preserve">Model discrimination and pairwise comparison against CatBoost.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AUROC with bootstrap 95% confidence intervals.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Difference in AUROC from CatBoost from a paired bootstrap in which the same resampled participants were scored under both models; intervals crossing zero indicate models that cannot be distinguished from CatBoost. Using unpaired intervals from panel A for these comparisons would overstate the uncertainty, because all models are scored on the same participants.</w:t>
      </w:r>
    </w:p>
    <w:p>
      <w:pPr>
        <w:keepNext/>
        <w:spacing w:before="200" w:after="0" w:line="240" w:lineRule="auto"/>
        <w:jc w:val="center"/>
        <w:pageBreakBefore w:val="true"/>
      </w:pPr>
      <w:r>
        <w:drawing>
          <wp:inline xmlns:a="http://schemas.openxmlformats.org/drawingml/2006/main" xmlns:pic="http://schemas.openxmlformats.org/drawingml/2006/picture">
            <wp:extent cx="5760720" cy="3037880"/>
            <wp:docPr id="3" name="Picture 3"/>
            <wp:cNvGraphicFramePr>
              <a:graphicFrameLocks noChangeAspect="1"/>
            </wp:cNvGraphicFramePr>
            <a:graphic>
              <a:graphicData uri="http://schemas.openxmlformats.org/drawingml/2006/picture">
                <pic:pic>
                  <pic:nvPicPr>
                    <pic:cNvPr id="0" name="fig4_calibration.png"/>
                    <pic:cNvPicPr/>
                  </pic:nvPicPr>
                  <pic:blipFill>
                    <a:blip r:embed="rId11"/>
                    <a:stretch>
                      <a:fillRect/>
                    </a:stretch>
                  </pic:blipFill>
                  <pic:spPr>
                    <a:xfrm>
                      <a:off x="0" y="0"/>
                      <a:ext cx="5760720" cy="303788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S3. </w:t>
      </w:r>
      <w:r>
        <w:rPr>
          <w:rFonts w:ascii="Times New Roman" w:hAnsi="Times New Roman" w:cs="Times New Roman" w:eastAsia="Times New Roman"/>
          <w:b w:val="0"/>
          <w:i w:val="0"/>
          <w:sz w:val="20"/>
        </w:rPr>
        <w:t xml:space="preserve">Calibration on the held-out test partition.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Calibration curves for the four leading models using ten quantile-based bins, with calibration slopes in the legend; the diagonal denotes perfect calibration.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Distribution of predicted probabilities from CatBoost by true outcome status.</w:t>
      </w:r>
    </w:p>
    <w:p>
      <w:pPr>
        <w:keepNext/>
        <w:spacing w:before="200" w:after="0" w:line="240" w:lineRule="auto"/>
        <w:jc w:val="center"/>
      </w:pPr>
      <w:r>
        <w:drawing>
          <wp:inline xmlns:a="http://schemas.openxmlformats.org/drawingml/2006/main" xmlns:pic="http://schemas.openxmlformats.org/drawingml/2006/picture">
            <wp:extent cx="4114800" cy="3202320"/>
            <wp:docPr id="4" name="Picture 4"/>
            <wp:cNvGraphicFramePr>
              <a:graphicFrameLocks noChangeAspect="1"/>
            </wp:cNvGraphicFramePr>
            <a:graphic>
              <a:graphicData uri="http://schemas.openxmlformats.org/drawingml/2006/picture">
                <pic:pic>
                  <pic:nvPicPr>
                    <pic:cNvPr id="0" name="fig5_decision_curve.png"/>
                    <pic:cNvPicPr/>
                  </pic:nvPicPr>
                  <pic:blipFill>
                    <a:blip r:embed="rId12"/>
                    <a:stretch>
                      <a:fillRect/>
                    </a:stretch>
                  </pic:blipFill>
                  <pic:spPr>
                    <a:xfrm>
                      <a:off x="0" y="0"/>
                      <a:ext cx="4114800" cy="320232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S4. </w:t>
      </w:r>
      <w:r>
        <w:rPr>
          <w:rFonts w:ascii="Times New Roman" w:hAnsi="Times New Roman" w:cs="Times New Roman" w:eastAsia="Times New Roman"/>
          <w:b w:val="0"/>
          <w:i w:val="0"/>
          <w:sz w:val="20"/>
        </w:rPr>
        <w:t>Decision-curve analysis on the held-out test partition. Net benefit is plotted against the risk threshold at which intervention would be considered warranted, for the four leading models and for the treat-all and treat-none reference strategies.</w:t>
      </w:r>
    </w:p>
    <w:p>
      <w:pPr>
        <w:keepNext/>
        <w:spacing w:before="200" w:after="0" w:line="240" w:lineRule="auto"/>
        <w:jc w:val="center"/>
        <w:pageBreakBefore w:val="true"/>
      </w:pPr>
      <w:r>
        <w:drawing>
          <wp:inline xmlns:a="http://schemas.openxmlformats.org/drawingml/2006/main" xmlns:pic="http://schemas.openxmlformats.org/drawingml/2006/picture">
            <wp:extent cx="4754880" cy="3125718"/>
            <wp:docPr id="5" name="Picture 5"/>
            <wp:cNvGraphicFramePr>
              <a:graphicFrameLocks noChangeAspect="1"/>
            </wp:cNvGraphicFramePr>
            <a:graphic>
              <a:graphicData uri="http://schemas.openxmlformats.org/drawingml/2006/picture">
                <pic:pic>
                  <pic:nvPicPr>
                    <pic:cNvPr id="0" name="fig9_subgroup_auc.png"/>
                    <pic:cNvPicPr/>
                  </pic:nvPicPr>
                  <pic:blipFill>
                    <a:blip r:embed="rId13"/>
                    <a:stretch>
                      <a:fillRect/>
                    </a:stretch>
                  </pic:blipFill>
                  <pic:spPr>
                    <a:xfrm>
                      <a:off x="0" y="0"/>
                      <a:ext cx="4754880" cy="3125718"/>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S5. </w:t>
      </w:r>
      <w:r>
        <w:rPr>
          <w:rFonts w:ascii="Times New Roman" w:hAnsi="Times New Roman" w:cs="Times New Roman" w:eastAsia="Times New Roman"/>
          <w:b w:val="0"/>
          <w:i w:val="0"/>
          <w:sz w:val="20"/>
        </w:rPr>
        <w:t>Discrimination of the CatBoost model within subgroups of the held-out test partition, with bootstrap 95% confidence intervals from 1,000 resamples. The dashed vertical line marks the overall test-set AUROC and subgroup sizes are given at the right. Age groups are tertiles of the test-partition age distribution. Because every subgroup is nested within the overall sample, these intervals are not independent of the overall estimate and overlap with it should not be read as a significance test. Subgroup calibration is reported in Table S6.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