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B1D9D6" w14:textId="6C34B0CB" w:rsidR="001E1377" w:rsidRPr="001E1377" w:rsidRDefault="001E1377" w:rsidP="001E1377">
      <w:pPr>
        <w:pStyle w:val="ListParagraph"/>
        <w:numPr>
          <w:ilvl w:val="0"/>
          <w:numId w:val="1"/>
        </w:numPr>
        <w:rPr>
          <w:lang w:val="en-US"/>
        </w:rPr>
      </w:pPr>
      <w:r>
        <w:rPr>
          <w:lang w:val="en-US"/>
        </w:rPr>
        <w:t>State of Problem</w:t>
      </w:r>
    </w:p>
    <w:p w14:paraId="6B6EE3A7" w14:textId="0DA2CD7D" w:rsidR="008D450D" w:rsidRDefault="008D450D">
      <w:pPr>
        <w:rPr>
          <w:lang w:val="en-US"/>
        </w:rPr>
      </w:pPr>
      <w:r>
        <w:rPr>
          <w:lang w:val="en-US"/>
        </w:rPr>
        <w:t>When you ask people how someone developed blood lead levels, the answer is often boring: exposure at work or at home.  It might come from paint chips existed in old buildings, soil by a roadway that never been noticed, or old pipes. These risks are not something new. Leaded gasoline has been stored for decades but its residue still shows up in exposure records. Industrial emissions can also intensify the problem. In workplaces focused on battery recycling or metal smelting this risk is further heightened. In this case the employees may unknowingly bring it home and expose their families as a result [1,2].</w:t>
      </w:r>
    </w:p>
    <w:p w14:paraId="195F4E2C" w14:textId="7964662D" w:rsidR="008D450D" w:rsidRDefault="008D450D">
      <w:pPr>
        <w:rPr>
          <w:lang w:val="en-US"/>
        </w:rPr>
      </w:pPr>
      <w:r>
        <w:rPr>
          <w:lang w:val="en-US"/>
        </w:rPr>
        <w:t>There is no lower limit for lead exposure that can be identified as a safe threshold [3,4]. Once lead enters the body, it accumulates and can harm multiple organ systems at the same time, including the brain, heart and blood vessels, nerves, blood, and kidneys. Even low-level exposure has been linked to impaired cognitive development, behavioral problems, higher blood pressure, and cardiovascular disease. Higher exposure can damage the kidneys, cause anemia, or even lead to death [3-5]. This is threatening children the most since they are still developing their nervous system. So, they are more vulnerable and the resulting mental effects may last well into adulthood [4,6].</w:t>
      </w:r>
    </w:p>
    <w:p w14:paraId="79E00D8B" w14:textId="73539847" w:rsidR="002D4667" w:rsidRDefault="008D450D">
      <w:pPr>
        <w:rPr>
          <w:lang w:val="en-US"/>
        </w:rPr>
      </w:pPr>
      <w:r>
        <w:rPr>
          <w:lang w:val="en-US"/>
        </w:rPr>
        <w:t>While among these exposures lead has been studied more, yet it is not the only metal that matters. Cadmium and mercury are the ones that people are mostly exposed to them through smoking cigarettes, shellfish intake, and industrial exposure. Both metals have been linked consistently to a greater chance of metabolic syndrome and several components of it in large observational studies [7-11]. The evidence we have for selenium is less clear.  While our body needs it, when the level exceeds the normal range, it has been linked to a higher chance of metabolic syndrome, particularly in presence of zinc [12-14]. The least clear metal among these four is manganese. Some studies reporting higher risks only in certain age groups and others show none [15,16]. These links do not behave the same way across different populations. Therefore, testing all five metals together in the same cohort is preferable to using lead as a representative for all these five metals.</w:t>
      </w:r>
    </w:p>
    <w:p w14:paraId="65E1C64B" w14:textId="74A33361" w:rsidR="008D450D" w:rsidRDefault="008D450D" w:rsidP="008D450D">
      <w:pPr>
        <w:rPr>
          <w:lang w:val="en-US"/>
        </w:rPr>
      </w:pPr>
      <w:r>
        <w:rPr>
          <w:lang w:val="en-US"/>
        </w:rPr>
        <w:t>Metabolic syndrome (</w:t>
      </w:r>
      <w:proofErr w:type="spellStart"/>
      <w:r>
        <w:rPr>
          <w:lang w:val="en-US"/>
        </w:rPr>
        <w:t>MetS</w:t>
      </w:r>
      <w:proofErr w:type="spellEnd"/>
      <w:r>
        <w:rPr>
          <w:lang w:val="en-US"/>
        </w:rPr>
        <w:t>) is not a single disease. Instead, it is a pattern of some related problems including belly fat, insulin resistance, high blood pressure, high triglycerides, and low HDL cholesterol. Each of these components can independently increase cardiovascular disease and type 2 diabetes risks. When they stack up together, they elevate the risk much more than we’d expect from just simply adding up their individual effects [17-21].</w:t>
      </w:r>
    </w:p>
    <w:p w14:paraId="28CE4A55" w14:textId="78A59F38" w:rsidR="008D450D" w:rsidRDefault="008D450D" w:rsidP="00B9331E">
      <w:pPr>
        <w:rPr>
          <w:lang w:val="en-US"/>
        </w:rPr>
      </w:pPr>
      <w:r>
        <w:rPr>
          <w:lang w:val="en-US"/>
        </w:rPr>
        <w:t xml:space="preserve">Insulin resistance and belly fat account for most of the damage. Then abnormal blood lipids and high blood pressure are added next. We don’t know the completely clear picture </w:t>
      </w:r>
      <w:r>
        <w:rPr>
          <w:lang w:val="en-US"/>
        </w:rPr>
        <w:lastRenderedPageBreak/>
        <w:t>of the mechanism but eating unhealthy food and physical inactivity are clearly central [22-24].</w:t>
      </w:r>
    </w:p>
    <w:p w14:paraId="549D799B" w14:textId="77777777" w:rsidR="008D450D" w:rsidRDefault="008D450D" w:rsidP="008D450D">
      <w:pPr>
        <w:rPr>
          <w:lang w:val="en-US"/>
        </w:rPr>
      </w:pPr>
      <w:r>
        <w:rPr>
          <w:lang w:val="en-US"/>
        </w:rPr>
        <w:t xml:space="preserve">The number of people dying from </w:t>
      </w:r>
      <w:proofErr w:type="spellStart"/>
      <w:r>
        <w:rPr>
          <w:lang w:val="en-US"/>
        </w:rPr>
        <w:t>MetS</w:t>
      </w:r>
      <w:proofErr w:type="spellEnd"/>
      <w:r>
        <w:rPr>
          <w:lang w:val="en-US"/>
        </w:rPr>
        <w:t xml:space="preserve"> especially from cardiovascular problems is increasing, as the condition is becoming prevalence globally. Part of the reason is attributed to the </w:t>
      </w:r>
      <w:r w:rsidRPr="008D450D">
        <w:rPr>
          <w:lang w:val="en-US"/>
        </w:rPr>
        <w:t>simultaneous</w:t>
      </w:r>
      <w:r>
        <w:rPr>
          <w:lang w:val="en-US"/>
        </w:rPr>
        <w:t xml:space="preserve"> spread of obesity and lack of exercise that don’t seem to be slowing down [20,25,26].</w:t>
      </w:r>
    </w:p>
    <w:p w14:paraId="4CC119C1" w14:textId="28B8BCC7" w:rsidR="008D450D" w:rsidRDefault="008D450D" w:rsidP="008D450D">
      <w:pPr>
        <w:rPr>
          <w:lang w:val="en-US"/>
        </w:rPr>
      </w:pPr>
      <w:r>
        <w:rPr>
          <w:lang w:val="en-US"/>
        </w:rPr>
        <w:t xml:space="preserve">Blood </w:t>
      </w:r>
      <w:proofErr w:type="gramStart"/>
      <w:r>
        <w:rPr>
          <w:lang w:val="en-US"/>
        </w:rPr>
        <w:t>lead</w:t>
      </w:r>
      <w:proofErr w:type="gramEnd"/>
      <w:r>
        <w:rPr>
          <w:lang w:val="en-US"/>
        </w:rPr>
        <w:t xml:space="preserve"> can raise Mets risk in several ways. As lead levels go up, </w:t>
      </w:r>
      <w:proofErr w:type="spellStart"/>
      <w:r>
        <w:rPr>
          <w:lang w:val="en-US"/>
        </w:rPr>
        <w:t>MetS</w:t>
      </w:r>
      <w:proofErr w:type="spellEnd"/>
      <w:r>
        <w:rPr>
          <w:lang w:val="en-US"/>
        </w:rPr>
        <w:t xml:space="preserve"> risk rises too, and its individual components including blood pressure, fasting glucose, triglycerides, and HDL cholesterol all change the way you would expect. In the Korea National Health and Nutrition Examination Survey it was found that just doubling the level of lead in blood was associated with a more than 1.5 times increase in </w:t>
      </w:r>
      <w:proofErr w:type="spellStart"/>
      <w:r>
        <w:rPr>
          <w:lang w:val="en-US"/>
        </w:rPr>
        <w:t>MetS</w:t>
      </w:r>
      <w:proofErr w:type="spellEnd"/>
      <w:r>
        <w:rPr>
          <w:lang w:val="en-US"/>
        </w:rPr>
        <w:t xml:space="preserve"> chance. Lead also disrupts lipid metabolism and causes insulin resistance, which are the two main pathways behind </w:t>
      </w:r>
      <w:proofErr w:type="spellStart"/>
      <w:r>
        <w:rPr>
          <w:lang w:val="en-US"/>
        </w:rPr>
        <w:t>MetS</w:t>
      </w:r>
      <w:proofErr w:type="spellEnd"/>
      <w:r>
        <w:rPr>
          <w:lang w:val="en-US"/>
        </w:rPr>
        <w:t xml:space="preserve">. Higher lead on its own has been associated with higher triglycerides, fasting glucose and lower HDL [28,29]. Lead also has cardiovascular effects. Oxidative stress created by lead seems to worsen circulatory dysfunction, and older </w:t>
      </w:r>
      <w:proofErr w:type="spellStart"/>
      <w:r>
        <w:rPr>
          <w:lang w:val="en-US"/>
        </w:rPr>
        <w:t>MetS</w:t>
      </w:r>
      <w:proofErr w:type="spellEnd"/>
      <w:r>
        <w:rPr>
          <w:lang w:val="en-US"/>
        </w:rPr>
        <w:t xml:space="preserve"> patients seem more vulnerable to autonomic issues with ongoing exposure [5,30]. Since thyroid-stimulating hormone has been identified as a possible link between lead exposure and </w:t>
      </w:r>
      <w:proofErr w:type="spellStart"/>
      <w:r>
        <w:rPr>
          <w:lang w:val="en-US"/>
        </w:rPr>
        <w:t>MetS</w:t>
      </w:r>
      <w:proofErr w:type="spellEnd"/>
      <w:r>
        <w:rPr>
          <w:lang w:val="en-US"/>
        </w:rPr>
        <w:t>, Thyroid may also matter [31].</w:t>
      </w:r>
    </w:p>
    <w:p w14:paraId="6BA2ADDA" w14:textId="77777777" w:rsidR="00C95DC4" w:rsidRDefault="008D450D" w:rsidP="008D450D">
      <w:pPr>
        <w:rPr>
          <w:lang w:val="en-US"/>
        </w:rPr>
      </w:pPr>
      <w:r>
        <w:rPr>
          <w:lang w:val="en-US"/>
        </w:rPr>
        <w:t xml:space="preserve">For the other four metals, the molecular mechanisms look much the same. Oxidative stress, whole body inflammation, and altered lipid and glucose metabolism keep showing up as the links between metal exposure and </w:t>
      </w:r>
      <w:proofErr w:type="spellStart"/>
      <w:r>
        <w:rPr>
          <w:lang w:val="en-US"/>
        </w:rPr>
        <w:t>MetS</w:t>
      </w:r>
      <w:proofErr w:type="spellEnd"/>
      <w:r>
        <w:rPr>
          <w:lang w:val="en-US"/>
        </w:rPr>
        <w:t xml:space="preserve"> consistently, regardless of which metal is being studied [13,32]. The key difference is how much things like being exposed to multiple metals at once, genetic background, and lifestyle factors such as smoking and diet change that link in any given population. This probably explains why the size and even the direction of the association vary so much across cohorts [33-35].</w:t>
      </w:r>
    </w:p>
    <w:p w14:paraId="1257F027" w14:textId="77777777" w:rsidR="00C95DC4" w:rsidRDefault="00C95DC4" w:rsidP="008D450D">
      <w:pPr>
        <w:rPr>
          <w:lang w:val="en-US"/>
        </w:rPr>
      </w:pPr>
      <w:r>
        <w:rPr>
          <w:lang w:val="en-US"/>
        </w:rPr>
        <w:t xml:space="preserve">None of them can tell us how strong the link between blood lead and </w:t>
      </w:r>
      <w:proofErr w:type="spellStart"/>
      <w:r>
        <w:rPr>
          <w:lang w:val="en-US"/>
        </w:rPr>
        <w:t>MetS</w:t>
      </w:r>
      <w:proofErr w:type="spellEnd"/>
      <w:r>
        <w:rPr>
          <w:lang w:val="en-US"/>
        </w:rPr>
        <w:t xml:space="preserve"> is. There are several studies from Korea investigating a clear relationship, in which they have found that people with elevated blood lead are more likely to have </w:t>
      </w:r>
      <w:proofErr w:type="spellStart"/>
      <w:r>
        <w:rPr>
          <w:lang w:val="en-US"/>
        </w:rPr>
        <w:t>MetS</w:t>
      </w:r>
      <w:proofErr w:type="spellEnd"/>
      <w:r>
        <w:rPr>
          <w:lang w:val="en-US"/>
        </w:rPr>
        <w:t xml:space="preserve">, higher triglyceride levels, and increased waist circumference [10,27,28]. However other studies didn’t come up with the same findings. The findings vary depending on the sample and age range, and the lead link isn’t consistent from one study to another. That is the reason behind substantial heterogeneity in pooled estimates [7,8,36]. Some evidence indicate lead has a bigger effect of </w:t>
      </w:r>
      <w:proofErr w:type="gramStart"/>
      <w:r>
        <w:rPr>
          <w:lang w:val="en-US"/>
        </w:rPr>
        <w:t xml:space="preserve">particular </w:t>
      </w:r>
      <w:proofErr w:type="spellStart"/>
      <w:r>
        <w:rPr>
          <w:lang w:val="en-US"/>
        </w:rPr>
        <w:t>MetS</w:t>
      </w:r>
      <w:proofErr w:type="spellEnd"/>
      <w:proofErr w:type="gramEnd"/>
      <w:r>
        <w:rPr>
          <w:lang w:val="en-US"/>
        </w:rPr>
        <w:t xml:space="preserve"> components (especially blood pressure and lipids) more than the syndrome as a single overall condition [29,37]. Things are not any clearer for other metals. Large cross-sectional studies and meta-analyses have found negative or no links for lead, cadmium, and mercury within certain populations. So even the association and the </w:t>
      </w:r>
      <w:r>
        <w:rPr>
          <w:lang w:val="en-US"/>
        </w:rPr>
        <w:lastRenderedPageBreak/>
        <w:t xml:space="preserve">direction of the relationship is left unsettled even for the two metals with the strongest overall evidence [8,16,38]. Analyses on populations in the United States have found associations that not only go in different directions compared to Asian cohorts but also differ in magnitude. That is a more challenging issue than just a simple effect-size difference [33,34]. The least clear metal in the group is Manganese. While some studies show an elevated risk in certain studies and withing </w:t>
      </w:r>
      <w:proofErr w:type="gramStart"/>
      <w:r>
        <w:rPr>
          <w:lang w:val="en-US"/>
        </w:rPr>
        <w:t>particular age</w:t>
      </w:r>
      <w:proofErr w:type="gramEnd"/>
      <w:r>
        <w:rPr>
          <w:lang w:val="en-US"/>
        </w:rPr>
        <w:t xml:space="preserve"> bands, others show no risk at all [15,16]. </w:t>
      </w:r>
    </w:p>
    <w:p w14:paraId="4B2A0C56" w14:textId="2AA6F723" w:rsidR="00C95DC4" w:rsidRDefault="00C95DC4" w:rsidP="008D450D">
      <w:pPr>
        <w:rPr>
          <w:lang w:val="en-US"/>
        </w:rPr>
      </w:pPr>
      <w:r>
        <w:rPr>
          <w:lang w:val="en-US"/>
        </w:rPr>
        <w:t xml:space="preserve">Applying SHAP (Shapely Additive </w:t>
      </w:r>
      <w:proofErr w:type="spellStart"/>
      <w:r>
        <w:rPr>
          <w:lang w:val="en-US"/>
        </w:rPr>
        <w:t>exPlanations</w:t>
      </w:r>
      <w:proofErr w:type="spellEnd"/>
      <w:r>
        <w:rPr>
          <w:lang w:val="en-US"/>
        </w:rPr>
        <w:t xml:space="preserve">) in machine learning tasks has become a standard approach for predicting diseases. Whenever you have a more specific purpose of finding out which risk factors matters more and to what degree they matter it’s helpful. The most common methods are </w:t>
      </w:r>
      <w:proofErr w:type="spellStart"/>
      <w:r>
        <w:rPr>
          <w:lang w:val="en-US"/>
        </w:rPr>
        <w:t>XGBoost</w:t>
      </w:r>
      <w:proofErr w:type="spellEnd"/>
      <w:r>
        <w:rPr>
          <w:lang w:val="en-US"/>
        </w:rPr>
        <w:t xml:space="preserve">, Random Forest, and Gradient boosting as the standard choices. They have been applied to hypertension. Heart disease, Alzheimer’s, disease, and diabetic eye disease. While these are different </w:t>
      </w:r>
      <w:proofErr w:type="gramStart"/>
      <w:r>
        <w:rPr>
          <w:lang w:val="en-US"/>
        </w:rPr>
        <w:t>diseases</w:t>
      </w:r>
      <w:proofErr w:type="gramEnd"/>
      <w:r>
        <w:rPr>
          <w:lang w:val="en-US"/>
        </w:rPr>
        <w:t xml:space="preserve"> but they all follow the same basic approach including combining clinical, demographic, and lifestyle data to make the prediction task highly accurate [39,42].</w:t>
      </w:r>
    </w:p>
    <w:p w14:paraId="29C64B1F" w14:textId="1B5BDA1F" w:rsidR="00C95DC4" w:rsidRDefault="00C95DC4" w:rsidP="00C95DC4">
      <w:pPr>
        <w:rPr>
          <w:lang w:val="en-US"/>
        </w:rPr>
      </w:pPr>
      <w:r>
        <w:rPr>
          <w:lang w:val="en-US"/>
        </w:rPr>
        <w:t>One of the tasks that Machine Learning (ML) does especially well is ranking risk factors in order of importance, not just only flagging them. SHAP quantifies each feature a score based on its contribution in prediction within a model. This enables researchers see exactly which factors are driving prediction, for example cholesterol, blood pressure, and age for heart disease; hemoglobin A1c and systolic blood pressure for diabetic eye disease [40,43,44]. Using the same approach, you can visualize how factors like triglycerides and age feed into hypertension risk. That enables opening the doors to more focused treatments [39,45]. Being able to interpret these models matters clinically, because without it complex models can’t be used in practice. ML-SHAP has been used to predict pressure sores in ICU patients and to evaluate the risk of COVID-19 reinfection, offering early warnings in both cases [46,47].</w:t>
      </w:r>
    </w:p>
    <w:p w14:paraId="7933B12D" w14:textId="055463AA" w:rsidR="00C95DC4" w:rsidRDefault="0018260E" w:rsidP="00C95DC4">
      <w:pPr>
        <w:rPr>
          <w:lang w:val="en-US"/>
        </w:rPr>
      </w:pPr>
      <w:r>
        <w:rPr>
          <w:lang w:val="en-US"/>
        </w:rPr>
        <w:t>Mendelian Randomization (MR) provides researcher a way to bypass the uncertainty that often affect observational studies.MR uses genetic variants as instrumental variables. Doing this MR can test weather a risk factor causes a health outcome without a need for a randomized controlled trial. For exposures like metal, such a trial is neither feasible nor ethical. Since during meiosis genetic variants are basically allocated at random, they aren’t tied to confounding factors which complicate observational studies. Researchers can determine whether a link or observed association is really reflecting a casual effect or it’s just a correlation by using a genetic proxy for an exposure [48-50].</w:t>
      </w:r>
    </w:p>
    <w:p w14:paraId="6B657CC8" w14:textId="021BF334" w:rsidR="00C95DC4" w:rsidRDefault="001E1377" w:rsidP="001E1377">
      <w:pPr>
        <w:rPr>
          <w:lang w:val="en-US"/>
        </w:rPr>
      </w:pPr>
      <w:r>
        <w:rPr>
          <w:lang w:val="en-US"/>
        </w:rPr>
        <w:t xml:space="preserve">The literature suggests blood metals and on top of all lead might contribute to metabolic syndrome, followed closely by cadmium, mercury, selenium, and manganese, though we </w:t>
      </w:r>
      <w:r>
        <w:rPr>
          <w:lang w:val="en-US"/>
        </w:rPr>
        <w:lastRenderedPageBreak/>
        <w:t xml:space="preserve">still don’t know for sure. Distinguishing which of these associations reflect </w:t>
      </w:r>
      <w:proofErr w:type="gramStart"/>
      <w:r>
        <w:rPr>
          <w:lang w:val="en-US"/>
        </w:rPr>
        <w:t>really biological</w:t>
      </w:r>
      <w:proofErr w:type="gramEnd"/>
      <w:r>
        <w:rPr>
          <w:lang w:val="en-US"/>
        </w:rPr>
        <w:t xml:space="preserve"> mechanism and which are just cause by other factors like diet, smoking, or socioeconomic conditions will take more than another single-metal cross-sectional study. We try to tackle the problem in this proposal in two steps. First, in</w:t>
      </w:r>
      <w:r>
        <w:rPr>
          <w:lang w:val="en-US"/>
        </w:rPr>
        <w:t>stead of deciding in advance which variable matters most</w:t>
      </w:r>
      <w:r>
        <w:rPr>
          <w:lang w:val="en-US"/>
        </w:rPr>
        <w:t xml:space="preserve">, ML ranks all five metals plus a wide set of </w:t>
      </w:r>
      <w:proofErr w:type="gramStart"/>
      <w:r>
        <w:rPr>
          <w:lang w:val="en-US"/>
        </w:rPr>
        <w:t>demographic</w:t>
      </w:r>
      <w:proofErr w:type="gramEnd"/>
      <w:r>
        <w:rPr>
          <w:lang w:val="en-US"/>
        </w:rPr>
        <w:t xml:space="preserve">, anthropometric (body-measurement), and lifestyle variables by their actual contribution to </w:t>
      </w:r>
      <w:proofErr w:type="spellStart"/>
      <w:r>
        <w:rPr>
          <w:lang w:val="en-US"/>
        </w:rPr>
        <w:t>MetS</w:t>
      </w:r>
      <w:proofErr w:type="spellEnd"/>
      <w:r>
        <w:rPr>
          <w:lang w:val="en-US"/>
        </w:rPr>
        <w:t xml:space="preserve"> risk once the others are </w:t>
      </w:r>
      <w:proofErr w:type="gramStart"/>
      <w:r>
        <w:rPr>
          <w:lang w:val="en-US"/>
        </w:rPr>
        <w:t>taken into account</w:t>
      </w:r>
      <w:proofErr w:type="gramEnd"/>
      <w:r>
        <w:rPr>
          <w:lang w:val="en-US"/>
        </w:rPr>
        <w:t>. Second, for whichever exposures found out from that ranking that has a solid genetic instrument, the metals and any nonmetal factor the model flags as similarly important such as body mass index (BMI), MR tests whether their contribution is a true casual effect or just confounding.</w:t>
      </w:r>
    </w:p>
    <w:p w14:paraId="131AFE84" w14:textId="378A1617" w:rsidR="001E1377" w:rsidRDefault="001E1377" w:rsidP="001E1377">
      <w:pPr>
        <w:pStyle w:val="ListParagraph"/>
        <w:numPr>
          <w:ilvl w:val="0"/>
          <w:numId w:val="1"/>
        </w:numPr>
        <w:rPr>
          <w:lang w:val="en-US"/>
        </w:rPr>
      </w:pPr>
      <w:r>
        <w:rPr>
          <w:lang w:val="en-US"/>
        </w:rPr>
        <w:t>Literature Review</w:t>
      </w:r>
    </w:p>
    <w:p w14:paraId="01435DFF" w14:textId="08804D98" w:rsidR="00B9331E" w:rsidRDefault="00B9331E" w:rsidP="00B9331E">
      <w:pPr>
        <w:rPr>
          <w:lang w:val="en-US"/>
        </w:rPr>
      </w:pPr>
      <w:r>
        <w:rPr>
          <w:lang w:val="en-US"/>
        </w:rPr>
        <w:t xml:space="preserve">Nobody argues with the fact that age, biological sex, and gender influence </w:t>
      </w:r>
      <w:proofErr w:type="spellStart"/>
      <w:r>
        <w:rPr>
          <w:lang w:val="en-US"/>
        </w:rPr>
        <w:t>MetS</w:t>
      </w:r>
      <w:proofErr w:type="spellEnd"/>
      <w:r>
        <w:rPr>
          <w:lang w:val="en-US"/>
        </w:rPr>
        <w:t xml:space="preserve"> risk. The hard thing to figure out is that how exactly they work together. Since depending on the population and study design the pattern varies it makes it difficult to establish the precise nature of their interaction. In both sexes prevalence rises with age. Older adults consistently exhibit higher rates than younger ones [26,51-53], although the way it rises differs between men and women. For men under 50, a higher prevalence of </w:t>
      </w:r>
      <w:proofErr w:type="spellStart"/>
      <w:r>
        <w:rPr>
          <w:lang w:val="en-US"/>
        </w:rPr>
        <w:t>MetS</w:t>
      </w:r>
      <w:proofErr w:type="spellEnd"/>
      <w:r>
        <w:rPr>
          <w:lang w:val="en-US"/>
        </w:rPr>
        <w:t xml:space="preserve"> is visible in men compared to women in many populations. After menopause, women’s rates go up steeply and frequently pass men’s [54,55]. Hormonal shifts partly explain some of this reversal. Gender-related factors such as lifestyle and psychological stress also contribute [56,57].</w:t>
      </w:r>
    </w:p>
    <w:p w14:paraId="17DA7060" w14:textId="258E18AF" w:rsidR="00B9331E" w:rsidRDefault="00B9331E" w:rsidP="00B9331E">
      <w:pPr>
        <w:rPr>
          <w:lang w:val="en-US"/>
        </w:rPr>
      </w:pPr>
      <w:r>
        <w:rPr>
          <w:lang w:val="en-US"/>
        </w:rPr>
        <w:t xml:space="preserve">The pattern by which </w:t>
      </w:r>
      <w:proofErr w:type="spellStart"/>
      <w:r>
        <w:rPr>
          <w:lang w:val="en-US"/>
        </w:rPr>
        <w:t>MetS</w:t>
      </w:r>
      <w:proofErr w:type="spellEnd"/>
      <w:r>
        <w:rPr>
          <w:lang w:val="en-US"/>
        </w:rPr>
        <w:t xml:space="preserve"> components cluster together differs by sex. For women, abdominal obesity tends to be the dominant feature, while men’s risk patterns are more heterogeneous and often involve higher blood pressure and triglycerides at younger ages [52,54,56]. When measured by odds ratios, age raises </w:t>
      </w:r>
      <w:proofErr w:type="spellStart"/>
      <w:r>
        <w:rPr>
          <w:lang w:val="en-US"/>
        </w:rPr>
        <w:t>MetS</w:t>
      </w:r>
      <w:proofErr w:type="spellEnd"/>
      <w:r>
        <w:rPr>
          <w:lang w:val="en-US"/>
        </w:rPr>
        <w:t xml:space="preserve"> odds more strongly in women. Several studies report </w:t>
      </w:r>
      <w:proofErr w:type="spellStart"/>
      <w:r>
        <w:rPr>
          <w:lang w:val="en-US"/>
        </w:rPr>
        <w:t>MetS</w:t>
      </w:r>
      <w:proofErr w:type="spellEnd"/>
      <w:r>
        <w:rPr>
          <w:lang w:val="en-US"/>
        </w:rPr>
        <w:t xml:space="preserve"> odds increase steeply in women than in men with age [54,55]. Moreover, older women appear to face a heavier burden of downstream cardioembolic and cardiovascular problems [51,58].</w:t>
      </w:r>
    </w:p>
    <w:p w14:paraId="1035E105" w14:textId="484A16E8" w:rsidR="00B9331E" w:rsidRDefault="00B9331E" w:rsidP="00B9331E">
      <w:pPr>
        <w:rPr>
          <w:lang w:val="en-US"/>
        </w:rPr>
      </w:pPr>
      <w:r>
        <w:rPr>
          <w:lang w:val="en-US"/>
        </w:rPr>
        <w:t xml:space="preserve">However, not everyone sees these trends the same way. Some studies show that </w:t>
      </w:r>
      <w:proofErr w:type="spellStart"/>
      <w:r>
        <w:rPr>
          <w:lang w:val="en-US"/>
        </w:rPr>
        <w:t>MetS</w:t>
      </w:r>
      <w:proofErr w:type="spellEnd"/>
      <w:r>
        <w:rPr>
          <w:lang w:val="en-US"/>
        </w:rPr>
        <w:t xml:space="preserve"> increases with age in men and women equally steep. Others report that </w:t>
      </w:r>
      <w:r>
        <w:rPr>
          <w:lang w:val="en-US"/>
        </w:rPr>
        <w:t>in the oldest cohorts</w:t>
      </w:r>
      <w:r>
        <w:rPr>
          <w:lang w:val="en-US"/>
        </w:rPr>
        <w:t xml:space="preserve"> the gap between the sexes narrowing or even reversing [51,58]. The driving parts of </w:t>
      </w:r>
      <w:proofErr w:type="spellStart"/>
      <w:r>
        <w:rPr>
          <w:lang w:val="en-US"/>
        </w:rPr>
        <w:t>MetS</w:t>
      </w:r>
      <w:proofErr w:type="spellEnd"/>
      <w:r>
        <w:rPr>
          <w:lang w:val="en-US"/>
        </w:rPr>
        <w:t xml:space="preserve"> risk can change as well. For example, triglyceride problems tend to diminish in men with age but stay stable or get worse in women [54,58]. There is a more fundamental methodological question: is it even reasonable to use the same diagnostic cutoffs across all ages and sex groups, when individual components behave apparently different across demographic groups? [17,59]</w:t>
      </w:r>
    </w:p>
    <w:p w14:paraId="03924E30" w14:textId="4BF5475E" w:rsidR="00C06269" w:rsidRDefault="00C06269" w:rsidP="00B9331E">
      <w:pPr>
        <w:rPr>
          <w:lang w:val="en-US"/>
        </w:rPr>
      </w:pPr>
      <w:r>
        <w:rPr>
          <w:lang w:val="en-US"/>
        </w:rPr>
        <w:lastRenderedPageBreak/>
        <w:t xml:space="preserve">Age, sex, and gender are determinants of </w:t>
      </w:r>
      <w:proofErr w:type="spellStart"/>
      <w:r>
        <w:rPr>
          <w:lang w:val="en-US"/>
        </w:rPr>
        <w:t>MetS</w:t>
      </w:r>
      <w:proofErr w:type="spellEnd"/>
      <w:r>
        <w:rPr>
          <w:lang w:val="en-US"/>
        </w:rPr>
        <w:t xml:space="preserve"> risk, but the biology, behavior, and social drivers underlying this relationship work differently across populations. That means diagnosis and prevention should be adopted regarding to age and sex rather than using the same standards for everyone. More research is needed to address the persistent inconsistencies across studies [51,52,54,56,58].</w:t>
      </w:r>
    </w:p>
    <w:p w14:paraId="23812416" w14:textId="03AE031B" w:rsidR="00C06269" w:rsidRDefault="00C06269" w:rsidP="00B9331E">
      <w:pPr>
        <w:rPr>
          <w:lang w:val="en-US"/>
        </w:rPr>
      </w:pPr>
      <w:r>
        <w:rPr>
          <w:lang w:val="en-US"/>
        </w:rPr>
        <w:t xml:space="preserve">Race and ethnicity, education, marital status, household size, and poverty-income ratio all affect </w:t>
      </w:r>
      <w:proofErr w:type="spellStart"/>
      <w:r>
        <w:rPr>
          <w:lang w:val="en-US"/>
        </w:rPr>
        <w:t>MetS</w:t>
      </w:r>
      <w:proofErr w:type="spellEnd"/>
      <w:r>
        <w:rPr>
          <w:lang w:val="en-US"/>
        </w:rPr>
        <w:t xml:space="preserve"> risk, but not always in an obvious or consistent way. Even after accounting for socioeconomic status and lifestyle factor, non-Hispanic Black, Hispanic, and some Asian subgroups usually show more </w:t>
      </w:r>
      <w:proofErr w:type="spellStart"/>
      <w:r>
        <w:rPr>
          <w:lang w:val="en-US"/>
        </w:rPr>
        <w:t>MetS</w:t>
      </w:r>
      <w:proofErr w:type="spellEnd"/>
      <w:r>
        <w:rPr>
          <w:lang w:val="en-US"/>
        </w:rPr>
        <w:t xml:space="preserve"> prevalence and severity than non-Hispanic White people [52], but the patterns vary within these groups. For example, compared to the White men, non-Hispanic Black men sometimes have lower </w:t>
      </w:r>
      <w:proofErr w:type="spellStart"/>
      <w:r>
        <w:rPr>
          <w:lang w:val="en-US"/>
        </w:rPr>
        <w:t>MetS</w:t>
      </w:r>
      <w:proofErr w:type="spellEnd"/>
      <w:r>
        <w:rPr>
          <w:lang w:val="en-US"/>
        </w:rPr>
        <w:t xml:space="preserve"> prevalence, while Black women have higher rates of </w:t>
      </w:r>
      <w:proofErr w:type="spellStart"/>
      <w:r>
        <w:rPr>
          <w:lang w:val="en-US"/>
        </w:rPr>
        <w:t>MetS</w:t>
      </w:r>
      <w:proofErr w:type="spellEnd"/>
      <w:r>
        <w:rPr>
          <w:lang w:val="en-US"/>
        </w:rPr>
        <w:t xml:space="preserve"> than White women [52]. These gaps remain evident across people’s lives and can’t be explained completely by environmental or behavioral factors [52,60]. Socioeconomic status generally can lead to </w:t>
      </w:r>
      <w:proofErr w:type="spellStart"/>
      <w:r>
        <w:rPr>
          <w:lang w:val="en-US"/>
        </w:rPr>
        <w:t>MetS</w:t>
      </w:r>
      <w:proofErr w:type="spellEnd"/>
      <w:r>
        <w:rPr>
          <w:lang w:val="en-US"/>
        </w:rPr>
        <w:t xml:space="preserve"> risk the way you would expect lower education and income mean higher risk, especially for women and some ethnic groups [60]. However, depending on the population you examine the patterns change. Higher income plays a protective role for non-Hispanic Whites and Asians against </w:t>
      </w:r>
      <w:proofErr w:type="spellStart"/>
      <w:r>
        <w:rPr>
          <w:lang w:val="en-US"/>
        </w:rPr>
        <w:t>MetS</w:t>
      </w:r>
      <w:proofErr w:type="spellEnd"/>
      <w:r>
        <w:rPr>
          <w:lang w:val="en-US"/>
        </w:rPr>
        <w:t xml:space="preserve">, but for non-Hispanic Blacks it sometimes can’t play such a role or even associates with higher obesity prevalence [52,60]. It’s interesting to know that the way people feel about their social position can predict how severe their </w:t>
      </w:r>
      <w:proofErr w:type="spellStart"/>
      <w:r>
        <w:rPr>
          <w:lang w:val="en-US"/>
        </w:rPr>
        <w:t>MetS</w:t>
      </w:r>
      <w:proofErr w:type="spellEnd"/>
      <w:r>
        <w:rPr>
          <w:lang w:val="en-US"/>
        </w:rPr>
        <w:t xml:space="preserve"> is better than their actual education or income does, especially in women [57,61].</w:t>
      </w:r>
      <w:r w:rsidR="00727851">
        <w:rPr>
          <w:lang w:val="en-US"/>
        </w:rPr>
        <w:t xml:space="preserve"> Compared to income or education, it is more difficult to characterize household-level social variables. </w:t>
      </w:r>
      <w:r w:rsidR="00F61FB2">
        <w:rPr>
          <w:lang w:val="en-US"/>
        </w:rPr>
        <w:t>There is</w:t>
      </w:r>
      <w:r w:rsidR="00727851">
        <w:rPr>
          <w:lang w:val="en-US"/>
        </w:rPr>
        <w:t xml:space="preserve"> inconsistent and limited evidence on factors like marital status and who lives in </w:t>
      </w:r>
      <w:r w:rsidR="00424A0D">
        <w:rPr>
          <w:lang w:val="en-US"/>
        </w:rPr>
        <w:t>the household</w:t>
      </w:r>
      <w:r w:rsidR="00727851">
        <w:rPr>
          <w:lang w:val="en-US"/>
        </w:rPr>
        <w:t>, so this proposal takes them into account as descriptive covariates rather than as hypothesized risk factors.</w:t>
      </w:r>
    </w:p>
    <w:p w14:paraId="0EFAE0F3" w14:textId="77777777" w:rsidR="00FD3254" w:rsidRDefault="00424A0D" w:rsidP="00B9331E">
      <w:pPr>
        <w:rPr>
          <w:lang w:val="en-US"/>
        </w:rPr>
      </w:pPr>
      <w:r>
        <w:rPr>
          <w:lang w:val="en-US"/>
        </w:rPr>
        <w:t xml:space="preserve">Lower education, lower income and certain racial or ethnic backgrounds consistently ho along with higher </w:t>
      </w:r>
      <w:proofErr w:type="spellStart"/>
      <w:r>
        <w:rPr>
          <w:lang w:val="en-US"/>
        </w:rPr>
        <w:t>MetS</w:t>
      </w:r>
      <w:proofErr w:type="spellEnd"/>
      <w:r>
        <w:rPr>
          <w:lang w:val="en-US"/>
        </w:rPr>
        <w:t xml:space="preserve"> risk, but a person’s subgroup, sex, and contextual factors change the strength and even the direction of the relationship. Prevention plans using one template for everyone are likely to miss much of these differences [52,57,60].</w:t>
      </w:r>
    </w:p>
    <w:p w14:paraId="55C99234" w14:textId="77777777" w:rsidR="00FD3254" w:rsidRDefault="00FD3254" w:rsidP="00B9331E">
      <w:pPr>
        <w:rPr>
          <w:lang w:val="en-US"/>
        </w:rPr>
      </w:pPr>
      <w:r>
        <w:rPr>
          <w:lang w:val="en-US"/>
        </w:rPr>
        <w:t xml:space="preserve">BMI and hip circumference are still the standard anthropometric measures used in </w:t>
      </w:r>
      <w:proofErr w:type="spellStart"/>
      <w:r>
        <w:rPr>
          <w:lang w:val="en-US"/>
        </w:rPr>
        <w:t>MetS</w:t>
      </w:r>
      <w:proofErr w:type="spellEnd"/>
      <w:r>
        <w:rPr>
          <w:lang w:val="en-US"/>
        </w:rPr>
        <w:t xml:space="preserve"> research. When either one goes up, it correlates reliably with </w:t>
      </w:r>
      <w:proofErr w:type="spellStart"/>
      <w:r>
        <w:rPr>
          <w:lang w:val="en-US"/>
        </w:rPr>
        <w:t>MetS</w:t>
      </w:r>
      <w:proofErr w:type="spellEnd"/>
      <w:r>
        <w:rPr>
          <w:lang w:val="en-US"/>
        </w:rPr>
        <w:t xml:space="preserve"> and with separate problems such as high blood pressure, dyslipidemia, and high blood sugar [17,62]. Since BMI can’t indicate the location of body fat, it performs less well than central obesity factors like waist circumference or waist-to-hip ratio [62].</w:t>
      </w:r>
    </w:p>
    <w:p w14:paraId="0F0569AE" w14:textId="26C1042A" w:rsidR="00424A0D" w:rsidRPr="001E1377" w:rsidRDefault="00FD3254" w:rsidP="00B9331E">
      <w:pPr>
        <w:rPr>
          <w:lang w:val="en-US"/>
        </w:rPr>
      </w:pPr>
      <w:r>
        <w:rPr>
          <w:lang w:val="en-US"/>
        </w:rPr>
        <w:t xml:space="preserve"> </w:t>
      </w:r>
      <w:r w:rsidR="00424A0D">
        <w:rPr>
          <w:lang w:val="en-US"/>
        </w:rPr>
        <w:t xml:space="preserve"> </w:t>
      </w:r>
    </w:p>
    <w:p w14:paraId="24EB9562" w14:textId="5B966CAE" w:rsidR="00C95DC4" w:rsidRDefault="00C95DC4" w:rsidP="00C95DC4">
      <w:pPr>
        <w:rPr>
          <w:lang w:val="en-US"/>
        </w:rPr>
      </w:pPr>
      <w:r>
        <w:rPr>
          <w:lang w:val="en-US"/>
        </w:rPr>
        <w:lastRenderedPageBreak/>
        <w:t xml:space="preserve"> </w:t>
      </w:r>
    </w:p>
    <w:p w14:paraId="522449B8" w14:textId="77777777" w:rsidR="00C95DC4" w:rsidRDefault="00C95DC4" w:rsidP="008D450D">
      <w:pPr>
        <w:rPr>
          <w:lang w:val="en-US"/>
        </w:rPr>
      </w:pPr>
    </w:p>
    <w:p w14:paraId="4BB5A588" w14:textId="77777777" w:rsidR="00C95DC4" w:rsidRDefault="00C95DC4" w:rsidP="008D450D">
      <w:pPr>
        <w:rPr>
          <w:lang w:val="en-US"/>
        </w:rPr>
      </w:pPr>
    </w:p>
    <w:p w14:paraId="48D664BB" w14:textId="503CE500" w:rsidR="00C95DC4" w:rsidRDefault="00C95DC4" w:rsidP="008D450D">
      <w:pPr>
        <w:rPr>
          <w:lang w:val="en-US"/>
        </w:rPr>
      </w:pPr>
      <w:r>
        <w:rPr>
          <w:lang w:val="en-US"/>
        </w:rPr>
        <w:t xml:space="preserve"> </w:t>
      </w:r>
    </w:p>
    <w:p w14:paraId="6BB62744" w14:textId="5F40825F" w:rsidR="008D450D" w:rsidRDefault="00C95DC4" w:rsidP="008D450D">
      <w:pPr>
        <w:rPr>
          <w:lang w:val="en-US"/>
        </w:rPr>
      </w:pPr>
      <w:r>
        <w:rPr>
          <w:lang w:val="en-US"/>
        </w:rPr>
        <w:t xml:space="preserve"> </w:t>
      </w:r>
    </w:p>
    <w:p w14:paraId="15687536" w14:textId="30050C99" w:rsidR="008D450D" w:rsidRDefault="008D450D" w:rsidP="008D450D">
      <w:pPr>
        <w:rPr>
          <w:lang w:val="en-US"/>
        </w:rPr>
      </w:pPr>
      <w:r>
        <w:rPr>
          <w:lang w:val="en-US"/>
        </w:rPr>
        <w:t xml:space="preserve"> </w:t>
      </w:r>
    </w:p>
    <w:p w14:paraId="65642E5E" w14:textId="3D48300F" w:rsidR="008D450D" w:rsidRPr="008D450D" w:rsidRDefault="008D450D" w:rsidP="008D450D">
      <w:pPr>
        <w:rPr>
          <w:lang w:val="en-US"/>
        </w:rPr>
      </w:pPr>
      <w:r>
        <w:rPr>
          <w:lang w:val="en-US"/>
        </w:rPr>
        <w:t xml:space="preserve"> </w:t>
      </w:r>
    </w:p>
    <w:sectPr w:rsidR="008D450D" w:rsidRPr="008D45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F01BC0"/>
    <w:multiLevelType w:val="hybridMultilevel"/>
    <w:tmpl w:val="B03C5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16625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50D"/>
    <w:rsid w:val="000072F0"/>
    <w:rsid w:val="000A3F1C"/>
    <w:rsid w:val="0018260E"/>
    <w:rsid w:val="001E1377"/>
    <w:rsid w:val="001F6A85"/>
    <w:rsid w:val="00277829"/>
    <w:rsid w:val="002D4667"/>
    <w:rsid w:val="0037706E"/>
    <w:rsid w:val="00424A0D"/>
    <w:rsid w:val="005B17DF"/>
    <w:rsid w:val="00727851"/>
    <w:rsid w:val="008D450D"/>
    <w:rsid w:val="0093456C"/>
    <w:rsid w:val="00B9331E"/>
    <w:rsid w:val="00C06269"/>
    <w:rsid w:val="00C81C8C"/>
    <w:rsid w:val="00C95DC4"/>
    <w:rsid w:val="00F61FB2"/>
    <w:rsid w:val="00FA65CA"/>
    <w:rsid w:val="00FD3254"/>
  </w:rsids>
  <m:mathPr>
    <m:mathFont m:val="Cambria Math"/>
    <m:brkBin m:val="before"/>
    <m:brkBinSub m:val="--"/>
    <m:smallFrac m:val="0"/>
    <m:dispDef/>
    <m:lMargin m:val="0"/>
    <m:rMargin m:val="0"/>
    <m:defJc m:val="centerGroup"/>
    <m:wrapIndent m:val="1440"/>
    <m:intLim m:val="subSup"/>
    <m:naryLim m:val="undOvr"/>
  </m:mathPr>
  <w:themeFontLang w:val="en-TW" w:eastAsia="zh-TW" w:bidi="ar-SA"/>
  <w:clrSchemeMapping w:bg1="light1" w:t1="dark1" w:bg2="light2" w:t2="dark2" w:accent1="accent1" w:accent2="accent2" w:accent3="accent3" w:accent4="accent4" w:accent5="accent5" w:accent6="accent6" w:hyperlink="hyperlink" w:followedHyperlink="followedHyperlink"/>
  <w:decimalSymbol w:val="."/>
  <w:listSeparator w:val=","/>
  <w14:docId w14:val="29B6F402"/>
  <w15:chartTrackingRefBased/>
  <w15:docId w15:val="{F40C5FFF-C7F2-EF46-846F-274C8E2E0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50D"/>
    <w:rPr>
      <w:rFonts w:eastAsiaTheme="majorEastAsia" w:cstheme="majorBidi"/>
      <w:color w:val="272727" w:themeColor="text1" w:themeTint="D8"/>
    </w:rPr>
  </w:style>
  <w:style w:type="paragraph" w:styleId="Title">
    <w:name w:val="Title"/>
    <w:basedOn w:val="Normal"/>
    <w:next w:val="Normal"/>
    <w:link w:val="TitleChar"/>
    <w:uiPriority w:val="10"/>
    <w:qFormat/>
    <w:rsid w:val="008D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50D"/>
    <w:pPr>
      <w:spacing w:before="160"/>
      <w:jc w:val="center"/>
    </w:pPr>
    <w:rPr>
      <w:i/>
      <w:iCs/>
      <w:color w:val="404040" w:themeColor="text1" w:themeTint="BF"/>
    </w:rPr>
  </w:style>
  <w:style w:type="character" w:customStyle="1" w:styleId="QuoteChar">
    <w:name w:val="Quote Char"/>
    <w:basedOn w:val="DefaultParagraphFont"/>
    <w:link w:val="Quote"/>
    <w:uiPriority w:val="29"/>
    <w:rsid w:val="008D450D"/>
    <w:rPr>
      <w:i/>
      <w:iCs/>
      <w:color w:val="404040" w:themeColor="text1" w:themeTint="BF"/>
    </w:rPr>
  </w:style>
  <w:style w:type="paragraph" w:styleId="ListParagraph">
    <w:name w:val="List Paragraph"/>
    <w:basedOn w:val="Normal"/>
    <w:uiPriority w:val="34"/>
    <w:qFormat/>
    <w:rsid w:val="008D450D"/>
    <w:pPr>
      <w:ind w:left="720"/>
      <w:contextualSpacing/>
    </w:pPr>
  </w:style>
  <w:style w:type="character" w:styleId="IntenseEmphasis">
    <w:name w:val="Intense Emphasis"/>
    <w:basedOn w:val="DefaultParagraphFont"/>
    <w:uiPriority w:val="21"/>
    <w:qFormat/>
    <w:rsid w:val="008D450D"/>
    <w:rPr>
      <w:i/>
      <w:iCs/>
      <w:color w:val="0F4761" w:themeColor="accent1" w:themeShade="BF"/>
    </w:rPr>
  </w:style>
  <w:style w:type="paragraph" w:styleId="IntenseQuote">
    <w:name w:val="Intense Quote"/>
    <w:basedOn w:val="Normal"/>
    <w:next w:val="Normal"/>
    <w:link w:val="IntenseQuoteChar"/>
    <w:uiPriority w:val="30"/>
    <w:qFormat/>
    <w:rsid w:val="008D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50D"/>
    <w:rPr>
      <w:i/>
      <w:iCs/>
      <w:color w:val="0F4761" w:themeColor="accent1" w:themeShade="BF"/>
    </w:rPr>
  </w:style>
  <w:style w:type="character" w:styleId="IntenseReference">
    <w:name w:val="Intense Reference"/>
    <w:basedOn w:val="DefaultParagraphFont"/>
    <w:uiPriority w:val="32"/>
    <w:qFormat/>
    <w:rsid w:val="008D45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6</Pages>
  <Words>2168</Words>
  <Characters>12360</Characters>
  <Application>Microsoft Office Word</Application>
  <DocSecurity>0</DocSecurity>
  <Lines>103</Lines>
  <Paragraphs>28</Paragraphs>
  <ScaleCrop>false</ScaleCrop>
  <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SOLEYMANI TALOUBAGHI ALI REZA</dc:creator>
  <cp:keywords/>
  <dc:description/>
  <cp:lastModifiedBy>SOLEYMANI TALOUBAGHI ALI REZA</cp:lastModifiedBy>
  <cp:revision>11</cp:revision>
  <dcterms:created xsi:type="dcterms:W3CDTF">2026-09-22T06:11:00Z</dcterms:created>
  <dcterms:modified xsi:type="dcterms:W3CDTF">2026-09-24T03:14:00Z</dcterms:modified>
</cp:coreProperties>
</file>