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Итоги продаж сети кофеен «Северный кофе» за III квартал 2026 года</w:t>
      </w:r>
    </w:p>
    <w:p>
      <w:pPr>
        <w:spacing w:after="160"/>
      </w:pPr>
      <w:r>
        <w:rPr>
          <w:sz w:val="22"/>
          <w:szCs w:val="22"/>
        </w:rPr>
        <w:t xml:space="preserve">Отчёт подготовлен коммерческой службой для совета директоров. В документе собраны результаты продаж за июль–сентябрь, разбивка по каналам и городам, а также выводы и планы на следующий квартал.</w:t>
      </w:r>
    </w:p>
    <w:p>
      <w:pPr>
        <w:pStyle w:val="Heading2"/>
        <w:spacing w:after="120" w:before="240"/>
      </w:pPr>
      <w:r>
        <w:t xml:space="preserve">1. Общая динамика</w:t>
      </w:r>
    </w:p>
    <w:p>
      <w:pPr>
        <w:spacing w:after="160"/>
      </w:pPr>
      <w:r>
        <w:rPr>
          <w:sz w:val="22"/>
          <w:szCs w:val="22"/>
        </w:rPr>
        <w:t xml:space="preserve">Квартал закрыт с ростом выручки к прошлому году. Основной вклад дал сентябрь: после возвращения студентов и открытия новой точки трафик заметно вырос. Средний чек вырос медленнее выручки, то есть рост обеспечен прежде всего числом гостей, а не ценой.</w:t>
      </w:r>
    </w:p>
    <w:p>
      <w:pPr>
        <w:spacing w:after="80" w:before="120"/>
      </w:pPr>
      <w:r>
        <w:rPr>
          <w:i/>
          <w:iCs/>
          <w:sz w:val="20"/>
          <w:szCs w:val="20"/>
        </w:rPr>
        <w:t xml:space="preserve">Таблица 1. Помесячные показатели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2200"/>
        <w:gridCol w:w="2200"/>
        <w:gridCol w:w="2000"/>
      </w:tblGrid>
      <w:tr>
        <w:trPr>
          <w:tblHeader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Выручка, млн руб.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Чеков, шт.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Средний чек, руб.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Июль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14,2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41 380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343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Август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15,1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43 050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351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Сентябрь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18,0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49 720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362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 за квартал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47,3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134 150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353</w:t>
            </w:r>
          </w:p>
        </w:tc>
      </w:tr>
    </w:tbl>
    <w:p>
      <w:pPr>
        <w:pStyle w:val="Heading2"/>
        <w:spacing w:after="120" w:before="240"/>
      </w:pPr>
      <w:r>
        <w:t xml:space="preserve">2. Каналы продаж</w:t>
      </w:r>
    </w:p>
    <w:p>
      <w:pPr>
        <w:spacing w:after="160"/>
      </w:pPr>
      <w:r>
        <w:rPr>
          <w:sz w:val="22"/>
          <w:szCs w:val="22"/>
        </w:rPr>
        <w:t xml:space="preserve">Доставка остаётся самым быстрорастущим каналом. Предзаказ через приложение запущен в июле и уже обогнал корпоративные заказы. Продажи в зале по-прежнему дают основную часть выручки.</w:t>
      </w:r>
    </w:p>
    <w:p>
      <w:pPr>
        <w:spacing w:after="80" w:before="120"/>
      </w:pPr>
      <w:r>
        <w:rPr>
          <w:i/>
          <w:iCs/>
          <w:sz w:val="20"/>
          <w:szCs w:val="20"/>
        </w:rPr>
        <w:t xml:space="preserve">Таблица 2. Выручка по каналам за квартал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2200"/>
        <w:gridCol w:w="1800"/>
        <w:gridCol w:w="2400"/>
      </w:tblGrid>
      <w:tr>
        <w:trPr>
          <w:tblHeader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Канал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Выручка, млн руб.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Доля, %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Рост к III кв. 2025, %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Продажи в зале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30,7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8,5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+41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Предзаказ в приложении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новый канал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Корпоративные заказы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−6</w:t>
            </w:r>
          </w:p>
        </w:tc>
      </w:tr>
    </w:tbl>
    <w:p>
      <w:pPr>
        <w:pStyle w:val="Heading2"/>
        <w:spacing w:after="120" w:before="240"/>
      </w:pPr>
      <w:r>
        <w:t xml:space="preserve">3. Города</w:t>
      </w:r>
    </w:p>
    <w:p>
      <w:pPr>
        <w:spacing w:after="160"/>
      </w:pPr>
      <w:r>
        <w:rPr>
          <w:sz w:val="22"/>
          <w:szCs w:val="22"/>
        </w:rPr>
        <w:t xml:space="preserve">Лучший результат по выручке на одну точку показал Санкт-Петербург. В Мурманске продажи ниже плана из-за ремонта торгового центра, где расположена одна из кофеен.</w:t>
      </w:r>
    </w:p>
    <w:p>
      <w:pPr>
        <w:spacing w:after="80" w:before="120"/>
      </w:pPr>
      <w:r>
        <w:rPr>
          <w:i/>
          <w:iCs/>
          <w:sz w:val="20"/>
          <w:szCs w:val="20"/>
        </w:rPr>
        <w:t xml:space="preserve">Таблица 3. Результаты по городам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2400"/>
        <w:gridCol w:w="2400"/>
      </w:tblGrid>
      <w:tr>
        <w:trPr>
          <w:tblHeader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Город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Точек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Выручка, млн руб.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Выполнение плана, %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Санкт-Петербург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26,6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Петрозаводск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9,8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Мурманск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Архангельск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</w:tr>
    </w:tbl>
    <w:p>
      <w:pPr>
        <w:pStyle w:val="Heading2"/>
        <w:spacing w:after="120" w:before="240"/>
      </w:pPr>
      <w:r>
        <w:t xml:space="preserve">4. Выводы и планы</w:t>
      </w:r>
    </w:p>
    <w:p>
      <w:pPr>
        <w:spacing w:after="160"/>
      </w:pPr>
      <w:r>
        <w:rPr>
          <w:sz w:val="22"/>
          <w:szCs w:val="22"/>
        </w:rPr>
        <w:t xml:space="preserve">Рост квартала обеспечен трафиком и доставкой, поэтому в IV квартале компания делает ставку на удержание гостей: запускается программа лояльности в приложении. Корпоративный канал требует пересмотра условий для офисных клиентов. В Мурманске после окончания ремонта ожидается возврат к плановым показателям.</w:t>
      </w:r>
    </w:p>
    <w:p>
      <w:pPr>
        <w:spacing w:after="160"/>
      </w:pPr>
      <w:r>
        <w:rPr>
          <w:sz w:val="22"/>
          <w:szCs w:val="22"/>
        </w:rPr>
        <w:t xml:space="preserve">Приоритеты на IV квартал: запуск программы лояльности, открытие двух точек в Санкт-Петербурге, новое предложение для корпоративных клиентов.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2026-09-26T14:28:26.735Z</dcterms:created>
  <dcterms:modified xsi:type="dcterms:W3CDTF">2026-09-26T14:28:26.743Z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