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8"/>
        </w:rPr>
        <w:t>OBLIQ</w:t>
      </w:r>
    </w:p>
    <w:p>
      <w:pPr>
        <w:jc w:val="center"/>
      </w:pPr>
      <w:r>
        <w:rPr>
          <w:b/>
          <w:sz w:val="34"/>
        </w:rPr>
        <w:t>Master Product &amp; Engineering Context</w:t>
      </w:r>
    </w:p>
    <w:p>
      <w:pPr>
        <w:jc w:val="center"/>
      </w:pPr>
      <w:r>
        <w:rPr>
          <w:i/>
        </w:rPr>
        <w:t>Private financial operations for crypto-native organizations</w:t>
      </w:r>
    </w:p>
    <w:p/>
    <w:p>
      <w:pPr>
        <w:pStyle w:val="Heading1"/>
      </w:pPr>
      <w:r>
        <w:t>0. Product Constitution</w:t>
      </w:r>
    </w:p>
    <w:p>
      <w:r>
        <w:t>Obliq is a startup, not a hackathon demo. It helps crypto-native organizations manage bills and other financial obligations, apply deterministic controls and human approvals, settle privately using Zcash, reconcile settlement back to the underlying business obligation, and create controlled financial evidence without surrendering treasury spending authority.</w:t>
      </w:r>
    </w:p>
    <w:p>
      <w:r>
        <w:t>Canonical 30-second explanation: “Crypto businesses should not have to publish who they pay. Obliq helps them manage bills, approvals and private Zcash settlements while keeping control of their treasury.”</w:t>
      </w:r>
    </w:p>
    <w:p>
      <w:pPr>
        <w:pStyle w:val="ListBullet"/>
      </w:pPr>
      <w:r>
        <w:t>Canonical lifecycle: CAPTURE → CONTROL → SETTLE → RECONCILE → PROVE.</w:t>
      </w:r>
    </w:p>
    <w:p>
      <w:pPr>
        <w:pStyle w:val="ListBullet"/>
      </w:pPr>
      <w:r>
        <w:t>Primary domain object: Obligation.</w:t>
      </w:r>
    </w:p>
    <w:p>
      <w:pPr>
        <w:pStyle w:val="ListBullet"/>
      </w:pPr>
      <w:r>
        <w:t>Initial wedge: vendor and contractor accounts payable.</w:t>
      </w:r>
    </w:p>
    <w:p>
      <w:pPr>
        <w:pStyle w:val="ListBullet"/>
      </w:pPr>
      <w:r>
        <w:t>Long-term company: private financial operations.</w:t>
      </w:r>
    </w:p>
    <w:p>
      <w:pPr>
        <w:pStyle w:val="ListBullet"/>
      </w:pPr>
      <w:r>
        <w:t>Zcash is a core settlement/privacy primitive, not branding.</w:t>
      </w:r>
    </w:p>
    <w:p>
      <w:pPr>
        <w:pStyle w:val="ListBullet"/>
      </w:pPr>
      <w:r>
        <w:t>Server never possesses unrestricted treasury spending authority.</w:t>
      </w:r>
    </w:p>
    <w:p>
      <w:pPr>
        <w:pStyle w:val="ListBullet"/>
      </w:pPr>
      <w:r>
        <w:t>AI assists understanding; deterministic rules and humans govern money.</w:t>
      </w:r>
    </w:p>
    <w:p>
      <w:pPr>
        <w:pStyle w:val="ListBullet"/>
      </w:pPr>
      <w:r>
        <w:t>Demo data must use the same application paths as real data.</w:t>
      </w:r>
    </w:p>
    <w:p>
      <w:pPr>
        <w:pStyle w:val="ListBullet"/>
      </w:pPr>
      <w:r>
        <w:t>Never present simulated, mocked, or blocked capabilities as live.</w:t>
      </w:r>
    </w:p>
    <w:p>
      <w:pPr>
        <w:pStyle w:val="ListBullet"/>
      </w:pPr>
      <w:r>
        <w:t>Every major capability must support a real customer workflow, privacy, security, Zcash integration, or product credibility.</w:t>
      </w:r>
    </w:p>
    <w:p>
      <w:pPr>
        <w:pStyle w:val="Heading1"/>
      </w:pPr>
      <w:r>
        <w:t>1. Startup Thesis</w:t>
      </w:r>
    </w:p>
    <w:p>
      <w:r>
        <w:t>Problem: crypto-native organizations often combine email/chat, spreadsheets, accounting tools, wallets and treasury signers to pay vendors and contractors. Transparent settlement can additionally expose counterparties, amounts, cadence and treasury relationships.</w:t>
      </w:r>
    </w:p>
    <w:p>
      <w:r>
        <w:t>Solution: Obliq turns a business obligation into a controlled private settlement with a durable audit trail and reconciliation record.</w:t>
      </w:r>
    </w:p>
    <w:p>
      <w:r>
        <w:t>Category: Private financial operations.</w:t>
      </w:r>
    </w:p>
    <w:p>
      <w:r>
        <w:t>Core promise: Manage financial obligations privately without giving up treasury control.</w:t>
      </w:r>
    </w:p>
    <w:p>
      <w:pPr>
        <w:pStyle w:val="Heading1"/>
      </w:pPr>
      <w:r>
        <w:t>2. Customer and Jobs To Be Done</w:t>
      </w:r>
    </w:p>
    <w:tbl>
      <w:tblPr>
        <w:tblStyle w:val="TableGrid"/>
        <w:tblW w:type="auto" w:w="0"/>
        <w:tblLook w:firstColumn="1" w:firstRow="1" w:lastColumn="0" w:lastRow="0" w:noHBand="0" w:noVBand="1" w:val="04A0"/>
      </w:tblPr>
      <w:tblGrid>
        <w:gridCol w:w="3389"/>
        <w:gridCol w:w="3389"/>
        <w:gridCol w:w="3389"/>
      </w:tblGrid>
      <w:tr>
        <w:tc>
          <w:tcPr>
            <w:tcW w:type="dxa" w:w="3389"/>
            <w:shd w:fill="E9EEF5"/>
          </w:tcPr>
          <w:p>
            <w:r>
              <w:rPr>
                <w:b/>
              </w:rPr>
              <w:t>Role</w:t>
            </w:r>
          </w:p>
        </w:tc>
        <w:tc>
          <w:tcPr>
            <w:tcW w:type="dxa" w:w="3389"/>
            <w:shd w:fill="E9EEF5"/>
          </w:tcPr>
          <w:p>
            <w:r>
              <w:rPr>
                <w:b/>
              </w:rPr>
              <w:t>Primary job</w:t>
            </w:r>
          </w:p>
        </w:tc>
        <w:tc>
          <w:tcPr>
            <w:tcW w:type="dxa" w:w="3389"/>
            <w:shd w:fill="E9EEF5"/>
          </w:tcPr>
          <w:p>
            <w:r>
              <w:rPr>
                <w:b/>
              </w:rPr>
              <w:t>Product value</w:t>
            </w:r>
          </w:p>
        </w:tc>
      </w:tr>
      <w:tr>
        <w:tc>
          <w:tcPr>
            <w:tcW w:type="dxa" w:w="3389"/>
          </w:tcPr>
          <w:p>
            <w:r>
              <w:t>Finance / Operations Lead</w:t>
            </w:r>
          </w:p>
        </w:tc>
        <w:tc>
          <w:tcPr>
            <w:tcW w:type="dxa" w:w="3389"/>
          </w:tcPr>
          <w:p>
            <w:r>
              <w:t>Capture bills, validate details, obtain approvals, prepare settlement, reconcile</w:t>
            </w:r>
          </w:p>
        </w:tc>
        <w:tc>
          <w:tcPr>
            <w:tcW w:type="dxa" w:w="3389"/>
          </w:tcPr>
          <w:p>
            <w:r>
              <w:t>Primary daily user</w:t>
            </w:r>
          </w:p>
        </w:tc>
      </w:tr>
      <w:tr>
        <w:tc>
          <w:tcPr>
            <w:tcW w:type="dxa" w:w="3389"/>
          </w:tcPr>
          <w:p>
            <w:r>
              <w:t>CFO / Founder</w:t>
            </w:r>
          </w:p>
        </w:tc>
        <w:tc>
          <w:tcPr>
            <w:tcW w:type="dxa" w:w="3389"/>
          </w:tcPr>
          <w:p>
            <w:r>
              <w:t>Control spend, understand liabilities, approve material payments, retain evidence</w:t>
            </w:r>
          </w:p>
        </w:tc>
        <w:tc>
          <w:tcPr>
            <w:tcW w:type="dxa" w:w="3389"/>
          </w:tcPr>
          <w:p>
            <w:r>
              <w:t>Economic buyer</w:t>
            </w:r>
          </w:p>
        </w:tc>
      </w:tr>
      <w:tr>
        <w:tc>
          <w:tcPr>
            <w:tcW w:type="dxa" w:w="3389"/>
          </w:tcPr>
          <w:p>
            <w:r>
              <w:t>Treasury Signer</w:t>
            </w:r>
          </w:p>
        </w:tc>
        <w:tc>
          <w:tcPr>
            <w:tcW w:type="dxa" w:w="3389"/>
          </w:tcPr>
          <w:p>
            <w:r>
              <w:t>Know exactly what is being authorized before signing</w:t>
            </w:r>
          </w:p>
        </w:tc>
        <w:tc>
          <w:tcPr>
            <w:tcW w:type="dxa" w:w="3389"/>
          </w:tcPr>
          <w:p>
            <w:r>
              <w:t>Security user</w:t>
            </w:r>
          </w:p>
        </w:tc>
      </w:tr>
      <w:tr>
        <w:tc>
          <w:tcPr>
            <w:tcW w:type="dxa" w:w="3389"/>
          </w:tcPr>
          <w:p>
            <w:r>
              <w:t>Accountant / Bookkeeper</w:t>
            </w:r>
          </w:p>
        </w:tc>
        <w:tc>
          <w:tcPr>
            <w:tcW w:type="dxa" w:w="3389"/>
          </w:tcPr>
          <w:p>
            <w:r>
              <w:t>Understand purpose, value, date, category and settlement status</w:t>
            </w:r>
          </w:p>
        </w:tc>
        <w:tc>
          <w:tcPr>
            <w:tcW w:type="dxa" w:w="3389"/>
          </w:tcPr>
          <w:p>
            <w:r>
              <w:t>Reporting user</w:t>
            </w:r>
          </w:p>
        </w:tc>
      </w:tr>
      <w:tr>
        <w:tc>
          <w:tcPr>
            <w:tcW w:type="dxa" w:w="3389"/>
          </w:tcPr>
          <w:p>
            <w:r>
              <w:t>Vendor / Contractor</w:t>
            </w:r>
          </w:p>
        </w:tc>
        <w:tc>
          <w:tcPr>
            <w:tcW w:type="dxa" w:w="3389"/>
          </w:tcPr>
          <w:p>
            <w:r>
              <w:t>Submit or receive payment request, know status, receive receipt</w:t>
            </w:r>
          </w:p>
        </w:tc>
        <w:tc>
          <w:tcPr>
            <w:tcW w:type="dxa" w:w="3389"/>
          </w:tcPr>
          <w:p>
            <w:r>
              <w:t>External beneficiary</w:t>
            </w:r>
          </w:p>
        </w:tc>
      </w:tr>
    </w:tbl>
    <w:p>
      <w:r>
        <w:t>Initial customer hypothesis: 10–100 person crypto-native organizations with distributed vendors/contractors, recurring international on-chain payments, multiple approvers/signers, and a legitimate need for commercial financial confidentiality.</w:t>
      </w:r>
    </w:p>
    <w:p>
      <w:pPr>
        <w:pStyle w:val="Heading1"/>
      </w:pPr>
      <w:r>
        <w:t>3. Competitive Findings and Differentiation</w:t>
      </w:r>
    </w:p>
    <w:tbl>
      <w:tblPr>
        <w:tblStyle w:val="TableGrid"/>
        <w:tblW w:type="auto" w:w="0"/>
        <w:tblLook w:firstColumn="1" w:firstRow="1" w:lastColumn="0" w:lastRow="0" w:noHBand="0" w:noVBand="1" w:val="04A0"/>
      </w:tblPr>
      <w:tblGrid>
        <w:gridCol w:w="3389"/>
        <w:gridCol w:w="3389"/>
        <w:gridCol w:w="3389"/>
      </w:tblGrid>
      <w:tr>
        <w:tc>
          <w:tcPr>
            <w:tcW w:type="dxa" w:w="3389"/>
            <w:shd w:fill="E9EEF5"/>
          </w:tcPr>
          <w:p>
            <w:r>
              <w:rPr>
                <w:b/>
              </w:rPr>
              <w:t>Category / product</w:t>
            </w:r>
          </w:p>
        </w:tc>
        <w:tc>
          <w:tcPr>
            <w:tcW w:type="dxa" w:w="3389"/>
            <w:shd w:fill="E9EEF5"/>
          </w:tcPr>
          <w:p>
            <w:r>
              <w:rPr>
                <w:b/>
              </w:rPr>
              <w:t>What it proves</w:t>
            </w:r>
          </w:p>
        </w:tc>
        <w:tc>
          <w:tcPr>
            <w:tcW w:type="dxa" w:w="3389"/>
            <w:shd w:fill="E9EEF5"/>
          </w:tcPr>
          <w:p>
            <w:r>
              <w:rPr>
                <w:b/>
              </w:rPr>
              <w:t>Why Obliq is different</w:t>
            </w:r>
          </w:p>
        </w:tc>
      </w:tr>
      <w:tr>
        <w:tc>
          <w:tcPr>
            <w:tcW w:type="dxa" w:w="3389"/>
          </w:tcPr>
          <w:p>
            <w:r>
              <w:t>Ramp / Brex</w:t>
            </w:r>
          </w:p>
        </w:tc>
        <w:tc>
          <w:tcPr>
            <w:tcW w:type="dxa" w:w="3389"/>
          </w:tcPr>
          <w:p>
            <w:r>
              <w:t>Invoice capture, approval chains, payment release and accounting are real business needs</w:t>
            </w:r>
          </w:p>
        </w:tc>
        <w:tc>
          <w:tcPr>
            <w:tcW w:type="dxa" w:w="3389"/>
          </w:tcPr>
          <w:p>
            <w:r>
              <w:t>Obliq brings the workflow to crypto-native, shielded settlement</w:t>
            </w:r>
          </w:p>
        </w:tc>
      </w:tr>
      <w:tr>
        <w:tc>
          <w:tcPr>
            <w:tcW w:type="dxa" w:w="3389"/>
          </w:tcPr>
          <w:p>
            <w:r>
              <w:t>Safe</w:t>
            </w:r>
          </w:p>
        </w:tc>
        <w:tc>
          <w:tcPr>
            <w:tcW w:type="dxa" w:w="3389"/>
          </w:tcPr>
          <w:p>
            <w:r>
              <w:t>Organizations need treasury authorization and multiple signers</w:t>
            </w:r>
          </w:p>
        </w:tc>
        <w:tc>
          <w:tcPr>
            <w:tcW w:type="dxa" w:w="3389"/>
          </w:tcPr>
          <w:p>
            <w:r>
              <w:t>Safe starts near transaction authorization; Obliq starts at the business obligation</w:t>
            </w:r>
          </w:p>
        </w:tc>
      </w:tr>
      <w:tr>
        <w:tc>
          <w:tcPr>
            <w:tcW w:type="dxa" w:w="3389"/>
          </w:tcPr>
          <w:p>
            <w:r>
              <w:t>Request Finance</w:t>
            </w:r>
          </w:p>
        </w:tc>
        <w:tc>
          <w:tcPr>
            <w:tcW w:type="dxa" w:w="3389"/>
          </w:tcPr>
          <w:p>
            <w:r>
              <w:t>Crypto AP/payroll/invoicing/private payments have demand</w:t>
            </w:r>
          </w:p>
        </w:tc>
        <w:tc>
          <w:tcPr>
            <w:tcW w:type="dxa" w:w="3389"/>
          </w:tcPr>
          <w:p>
            <w:r>
              <w:t>Obliq centers non-custodial Zcash-native privacy plus controlled evidence</w:t>
            </w:r>
          </w:p>
        </w:tc>
      </w:tr>
      <w:tr>
        <w:tc>
          <w:tcPr>
            <w:tcW w:type="dxa" w:w="3389"/>
          </w:tcPr>
          <w:p>
            <w:r>
              <w:t>CipherPay / ZGo</w:t>
            </w:r>
          </w:p>
        </w:tc>
        <w:tc>
          <w:tcPr>
            <w:tcW w:type="dxa" w:w="3389"/>
          </w:tcPr>
          <w:p>
            <w:r>
              <w:t>Shielded merchant checkout and invoice matching already exist</w:t>
            </w:r>
          </w:p>
        </w:tc>
        <w:tc>
          <w:tcPr>
            <w:tcW w:type="dxa" w:w="3389"/>
          </w:tcPr>
          <w:p>
            <w:r>
              <w:t>Obliq is not merchant checkout; it manages pre-payment controls and post-payment financial operations</w:t>
            </w:r>
          </w:p>
        </w:tc>
      </w:tr>
      <w:tr>
        <w:tc>
          <w:tcPr>
            <w:tcW w:type="dxa" w:w="3389"/>
          </w:tcPr>
          <w:p>
            <w:r>
              <w:t>Konclave / FROST treasury work</w:t>
            </w:r>
          </w:p>
        </w:tc>
        <w:tc>
          <w:tcPr>
            <w:tcW w:type="dxa" w:w="3389"/>
          </w:tcPr>
          <w:p>
            <w:r>
              <w:t>Private organizational treasury/signing is meaningful</w:t>
            </w:r>
          </w:p>
        </w:tc>
        <w:tc>
          <w:tcPr>
            <w:tcW w:type="dxa" w:w="3389"/>
          </w:tcPr>
          <w:p>
            <w:r>
              <w:t>Obliq treats signing as one layer inside a broader finance workflow</w:t>
            </w:r>
          </w:p>
        </w:tc>
      </w:tr>
      <w:tr>
        <w:tc>
          <w:tcPr>
            <w:tcW w:type="dxa" w:w="3389"/>
          </w:tcPr>
          <w:p>
            <w:r>
              <w:t>Zecceipt</w:t>
            </w:r>
          </w:p>
        </w:tc>
        <w:tc>
          <w:tcPr>
            <w:tcW w:type="dxa" w:w="3389"/>
          </w:tcPr>
          <w:p>
            <w:r>
              <w:t>Invoice → Zcash payment → confirmation → receipt is proven prior team experience</w:t>
            </w:r>
          </w:p>
        </w:tc>
        <w:tc>
          <w:tcPr>
            <w:tcW w:type="dxa" w:w="3389"/>
          </w:tcPr>
          <w:p>
            <w:r>
              <w:t>Obliq replaces transparent payment verification with private organizational operations</w:t>
            </w:r>
          </w:p>
        </w:tc>
      </w:tr>
    </w:tbl>
    <w:p>
      <w:r>
        <w:t>Differentiation intersection: financial operations × self-custody × protocol-native privacy × organizational controls × controlled evidence.</w:t>
      </w:r>
    </w:p>
    <w:p>
      <w:pPr>
        <w:pStyle w:val="Heading1"/>
      </w:pPr>
      <w:r>
        <w:t>4. Product Scope</w:t>
      </w:r>
    </w:p>
    <w:p>
      <w:pPr>
        <w:pStyle w:val="Heading2"/>
      </w:pPr>
      <w:r>
        <w:t>4.1 V1 required capabilities</w:t>
      </w:r>
    </w:p>
    <w:p>
      <w:pPr>
        <w:pStyle w:val="ListBullet"/>
      </w:pPr>
      <w:r>
        <w:t>Organization/workspace and role-aware access.</w:t>
      </w:r>
    </w:p>
    <w:p>
      <w:pPr>
        <w:pStyle w:val="ListBullet"/>
      </w:pPr>
      <w:r>
        <w:t>Vendor directory and payment-destination records.</w:t>
      </w:r>
    </w:p>
    <w:p>
      <w:pPr>
        <w:pStyle w:val="ListBullet"/>
      </w:pPr>
      <w:r>
        <w:t>Obligation creation from manual entry and invoice upload.</w:t>
      </w:r>
    </w:p>
    <w:p>
      <w:pPr>
        <w:pStyle w:val="ListBullet"/>
      </w:pPr>
      <w:r>
        <w:t>AI-assisted extraction with explicit human review.</w:t>
      </w:r>
    </w:p>
    <w:p>
      <w:pPr>
        <w:pStyle w:val="ListBullet"/>
      </w:pPr>
      <w:r>
        <w:t>Deterministic duplicate, vendor, destination, amount and approval checks.</w:t>
      </w:r>
    </w:p>
    <w:p>
      <w:pPr>
        <w:pStyle w:val="ListBullet"/>
      </w:pPr>
      <w:r>
        <w:t>Approval policies and approval history.</w:t>
      </w:r>
    </w:p>
    <w:p>
      <w:pPr>
        <w:pStyle w:val="ListBullet"/>
      </w:pPr>
      <w:r>
        <w:t>Settlement readiness gate.</w:t>
      </w:r>
    </w:p>
    <w:p>
      <w:pPr>
        <w:pStyle w:val="ListBullet"/>
      </w:pPr>
      <w:r>
        <w:t>Fiat-denominated obligation with explicit ZEC settlement quote.</w:t>
      </w:r>
    </w:p>
    <w:p>
      <w:pPr>
        <w:pStyle w:val="ListBullet"/>
      </w:pPr>
      <w:r>
        <w:t>ZIP-321-compatible payment request / signing handoff where technically appropriate.</w:t>
      </w:r>
    </w:p>
    <w:p>
      <w:pPr>
        <w:pStyle w:val="ListBullet"/>
      </w:pPr>
      <w:r>
        <w:t>Real shielded Zcash settlement on the selected supported network.</w:t>
      </w:r>
    </w:p>
    <w:p>
      <w:pPr>
        <w:pStyle w:val="ListBullet"/>
      </w:pPr>
      <w:r>
        <w:t>Read-only shielded observation/reconciliation architecture.</w:t>
      </w:r>
    </w:p>
    <w:p>
      <w:pPr>
        <w:pStyle w:val="ListBullet"/>
      </w:pPr>
      <w:r>
        <w:t>Confirmation-aware settlement state.</w:t>
      </w:r>
    </w:p>
    <w:p>
      <w:pPr>
        <w:pStyle w:val="ListBullet"/>
      </w:pPr>
      <w:r>
        <w:t>Private ledger tied to business obligations.</w:t>
      </w:r>
    </w:p>
    <w:p>
      <w:pPr>
        <w:pStyle w:val="ListBullet"/>
      </w:pPr>
      <w:r>
        <w:t>Downloadable receipt/evidence artifact.</w:t>
      </w:r>
    </w:p>
    <w:p>
      <w:pPr>
        <w:pStyle w:val="ListBullet"/>
      </w:pPr>
      <w:r>
        <w:t>Tamper-evident application audit chain.</w:t>
      </w:r>
    </w:p>
    <w:p>
      <w:pPr>
        <w:pStyle w:val="ListBullet"/>
      </w:pPr>
      <w:r>
        <w:t>Landing page, app, documentation, security page, proof page, verification/receipt surface.</w:t>
      </w:r>
    </w:p>
    <w:p>
      <w:pPr>
        <w:pStyle w:val="Heading2"/>
      </w:pPr>
      <w:r>
        <w:t>4.2 Explicit non-goals for competition-critical V1</w:t>
      </w:r>
    </w:p>
    <w:p>
      <w:pPr>
        <w:pStyle w:val="ListBullet"/>
      </w:pPr>
      <w:r>
        <w:t>Replacing QuickBooks/Xero.</w:t>
      </w:r>
    </w:p>
    <w:p>
      <w:pPr>
        <w:pStyle w:val="ListBullet"/>
      </w:pPr>
      <w:r>
        <w:t>Full payroll suite.</w:t>
      </w:r>
    </w:p>
    <w:p>
      <w:pPr>
        <w:pStyle w:val="ListBullet"/>
      </w:pPr>
      <w:r>
        <w:t>Custodial treasury.</w:t>
      </w:r>
    </w:p>
    <w:p>
      <w:pPr>
        <w:pStyle w:val="ListBullet"/>
      </w:pPr>
      <w:r>
        <w:t>Autonomous AI spending.</w:t>
      </w:r>
    </w:p>
    <w:p>
      <w:pPr>
        <w:pStyle w:val="ListBullet"/>
      </w:pPr>
      <w:r>
        <w:t>Production CrossPay/FX unless verified and integration-ready.</w:t>
      </w:r>
    </w:p>
    <w:p>
      <w:pPr>
        <w:pStyle w:val="ListBullet"/>
      </w:pPr>
      <w:r>
        <w:t>Claiming native shielded stablecoins on Zcash.</w:t>
      </w:r>
    </w:p>
    <w:p>
      <w:pPr>
        <w:pStyle w:val="ListBullet"/>
      </w:pPr>
      <w:r>
        <w:t>Depending on unfinished/experimental Zcash features for the critical demo path.</w:t>
      </w:r>
    </w:p>
    <w:p>
      <w:pPr>
        <w:pStyle w:val="ListBullet"/>
      </w:pPr>
      <w:r>
        <w:t>Fake FROST or fake PCZT flows.</w:t>
      </w:r>
    </w:p>
    <w:p>
      <w:pPr>
        <w:pStyle w:val="ListBullet"/>
      </w:pPr>
      <w:r>
        <w:t>Arbitrary cryptographic selective disclosure claims that are not actually implemented.</w:t>
      </w:r>
    </w:p>
    <w:p>
      <w:pPr>
        <w:pStyle w:val="Heading1"/>
      </w:pPr>
      <w:r>
        <w:t>5. Route Map</w:t>
      </w:r>
    </w:p>
    <w:p>
      <w:pPr>
        <w:ind w:left="317"/>
      </w:pPr>
      <w:r>
        <w:rPr>
          <w:rFonts w:ascii="Consolas" w:hAnsi="Consolas"/>
          <w:sz w:val="16"/>
        </w:rPr>
        <w:t>/</w:t>
        <w:br/>
        <w:t xml:space="preserve"> /app</w:t>
        <w:br/>
        <w:t xml:space="preserve"> /app/obligations</w:t>
        <w:br/>
        <w:t xml:space="preserve"> /app/obligations/[id]</w:t>
        <w:br/>
        <w:t xml:space="preserve"> /app/vendors</w:t>
        <w:br/>
        <w:t xml:space="preserve"> /app/vendors/[id]</w:t>
        <w:br/>
        <w:t xml:space="preserve"> /app/approvals</w:t>
        <w:br/>
        <w:t xml:space="preserve"> /app/settlements</w:t>
        <w:br/>
        <w:t xml:space="preserve"> /app/ledger</w:t>
        <w:br/>
        <w:t xml:space="preserve"> /app/evidence</w:t>
        <w:br/>
        <w:t xml:space="preserve"> /app/policies</w:t>
        <w:br/>
        <w:t xml:space="preserve"> /app/settings</w:t>
        <w:br/>
        <w:br/>
        <w:t xml:space="preserve"> /docs</w:t>
        <w:br/>
        <w:t xml:space="preserve"> /docs/[...slug]</w:t>
        <w:br/>
        <w:t xml:space="preserve"> /security</w:t>
        <w:br/>
        <w:t xml:space="preserve"> /proof</w:t>
        <w:br/>
        <w:t xml:space="preserve"> /verify/[evidenceId]</w:t>
        <w:br/>
        <w:br/>
        <w:t>Optional only if justified:</w:t>
        <w:br/>
        <w:t xml:space="preserve"> /pay/[requestId]</w:t>
        <w:br/>
        <w:t xml:space="preserve"> /receipt/[id]</w:t>
      </w:r>
    </w:p>
    <w:p>
      <w:pPr>
        <w:pStyle w:val="Heading1"/>
      </w:pPr>
      <w:r>
        <w:t>6. Complete UX</w:t>
      </w:r>
    </w:p>
    <w:p>
      <w:pPr>
        <w:pStyle w:val="Heading2"/>
      </w:pPr>
      <w:r>
        <w:t>6.1 Landing</w:t>
      </w:r>
    </w:p>
    <w:p>
      <w:r>
        <w:t>Hero must pass the 30-second test. Recommended core copy: “Pay your business bills without publishing your business.” Supporting sentence: “Obliq helps crypto teams manage bills, approvals and private Zcash settlements—without giving up control of their treasury.”</w:t>
      </w:r>
    </w:p>
    <w:p>
      <w:r>
        <w:t>Immediately show: Invoice → Approve → Pay privately with Zcash → Automatically reconciled. Deeper sections then introduce Capture → Control → Settle → Reconcile → Prove.</w:t>
      </w:r>
    </w:p>
    <w:p>
      <w:pPr>
        <w:pStyle w:val="Heading2"/>
      </w:pPr>
      <w:r>
        <w:t>6.2 Dashboard</w:t>
      </w:r>
    </w:p>
    <w:p>
      <w:r>
        <w:t>Finance-first information hierarchy: bills due, awaiting approval, exceptions, settled this month, and a needs-attention queue. No protocol jargon in primary UI.</w:t>
      </w:r>
    </w:p>
    <w:p>
      <w:pPr>
        <w:pStyle w:val="Heading2"/>
      </w:pPr>
      <w:r>
        <w:t>6.3 Obligation detail</w:t>
      </w:r>
    </w:p>
    <w:p>
      <w:pPr>
        <w:pStyle w:val="ListBullet"/>
      </w:pPr>
      <w:r>
        <w:t>Source document and extracted fields.</w:t>
      </w:r>
    </w:p>
    <w:p>
      <w:pPr>
        <w:pStyle w:val="ListBullet"/>
      </w:pPr>
      <w:r>
        <w:t>Vendor and category.</w:t>
      </w:r>
    </w:p>
    <w:p>
      <w:pPr>
        <w:pStyle w:val="ListBullet"/>
      </w:pPr>
      <w:r>
        <w:t>Amount and due date.</w:t>
      </w:r>
    </w:p>
    <w:p>
      <w:pPr>
        <w:pStyle w:val="ListBullet"/>
      </w:pPr>
      <w:r>
        <w:t>Control checks.</w:t>
      </w:r>
    </w:p>
    <w:p>
      <w:pPr>
        <w:pStyle w:val="ListBullet"/>
      </w:pPr>
      <w:r>
        <w:t>Required approvals and actors.</w:t>
      </w:r>
    </w:p>
    <w:p>
      <w:pPr>
        <w:pStyle w:val="ListBullet"/>
      </w:pPr>
      <w:r>
        <w:t>Settlement readiness.</w:t>
      </w:r>
    </w:p>
    <w:p>
      <w:pPr>
        <w:pStyle w:val="ListBullet"/>
      </w:pPr>
      <w:r>
        <w:t>Private settlement quote and signing handoff.</w:t>
      </w:r>
    </w:p>
    <w:p>
      <w:pPr>
        <w:pStyle w:val="ListBullet"/>
      </w:pPr>
      <w:r>
        <w:t>Settlement/reconciliation timeline.</w:t>
      </w:r>
    </w:p>
    <w:p>
      <w:pPr>
        <w:pStyle w:val="ListBullet"/>
      </w:pPr>
      <w:r>
        <w:t>Evidence actions after settlement.</w:t>
      </w:r>
    </w:p>
    <w:p>
      <w:pPr>
        <w:pStyle w:val="Heading2"/>
      </w:pPr>
      <w:r>
        <w:t>6.4 Settlement review</w:t>
      </w:r>
    </w:p>
    <w:p>
      <w:r>
        <w:t>Show business value, ZEC amount/quote expiry, verified destination status, privacy mode, matching mechanism, completed approvals and the explicit statement that Obliq cannot spend funds.</w:t>
      </w:r>
    </w:p>
    <w:p>
      <w:pPr>
        <w:pStyle w:val="Heading2"/>
      </w:pPr>
      <w:r>
        <w:t>6.5 Evidence</w:t>
      </w:r>
    </w:p>
    <w:p>
      <w:r>
        <w:t>Allow an authorized user to create an application evidence package containing selected business facts. V1 must distinguish application-controlled disclosure from protocol-level cryptographic disclosure.</w:t>
      </w:r>
    </w:p>
    <w:p>
      <w:pPr>
        <w:pStyle w:val="Heading2"/>
      </w:pPr>
      <w:r>
        <w:t>6.6 Vendors and Policies</w:t>
      </w:r>
    </w:p>
    <w:p>
      <w:r>
        <w:t>Vendor records include verification state, destinations, category, history and destination-change controls. Policies deterministically define approval requirements and blocking conditions.</w:t>
      </w:r>
    </w:p>
    <w:p>
      <w:pPr>
        <w:pStyle w:val="Heading1"/>
      </w:pPr>
      <w:r>
        <w:t>7. Design Language</w:t>
      </w:r>
    </w:p>
    <w:p>
      <w:pPr>
        <w:pStyle w:val="ListBullet"/>
      </w:pPr>
      <w:r>
        <w:t>Serious, quiet, institutional, premium, information-dense.</w:t>
      </w:r>
    </w:p>
    <w:p>
      <w:pPr>
        <w:pStyle w:val="ListBullet"/>
      </w:pPr>
      <w:r>
        <w:t>Finance software first; privacy/security second; blockchain third.</w:t>
      </w:r>
    </w:p>
    <w:p>
      <w:pPr>
        <w:pStyle w:val="ListBullet"/>
      </w:pPr>
      <w:r>
        <w:t>No cyberpunk/neon-Web3 aesthetic.</w:t>
      </w:r>
    </w:p>
    <w:p>
      <w:pPr>
        <w:pStyle w:val="ListBullet"/>
      </w:pPr>
      <w:r>
        <w:t>No generic shield, padlock, blockchain cube or Zcash-logo-as-brand motif.</w:t>
      </w:r>
    </w:p>
    <w:p>
      <w:pPr>
        <w:pStyle w:val="ListBullet"/>
      </w:pPr>
      <w:r>
        <w:t>Primary screens use business terms: obligation, vendor, approval, settlement, ledger, evidence.</w:t>
      </w:r>
    </w:p>
    <w:p>
      <w:pPr>
        <w:pStyle w:val="ListBullet"/>
      </w:pPr>
      <w:r>
        <w:t>Protocol details live under advanced/technical surfaces.</w:t>
      </w:r>
    </w:p>
    <w:p>
      <w:pPr>
        <w:pStyle w:val="ListBullet"/>
      </w:pPr>
      <w:r>
        <w:t>Responsive and accessible; keyboard navigation and visible focus states are required.</w:t>
      </w:r>
    </w:p>
    <w:p>
      <w:pPr>
        <w:pStyle w:val="ListBullet"/>
      </w:pPr>
      <w:r>
        <w:t>Landing, app, docs, security and proof pages share one coherent design system.</w:t>
      </w:r>
    </w:p>
    <w:p>
      <w:pPr>
        <w:pStyle w:val="Heading1"/>
      </w:pPr>
      <w:r>
        <w:t>8. Domain Architecture</w:t>
      </w:r>
    </w:p>
    <w:p>
      <w:r>
        <w:t>Blockchain transactions are settlement mechanisms, not the primary business domain object.</w:t>
      </w:r>
    </w:p>
    <w:tbl>
      <w:tblPr>
        <w:tblStyle w:val="TableGrid"/>
        <w:tblW w:type="auto" w:w="0"/>
        <w:tblLook w:firstColumn="1" w:firstRow="1" w:lastColumn="0" w:lastRow="0" w:noHBand="0" w:noVBand="1" w:val="04A0"/>
      </w:tblPr>
      <w:tblGrid>
        <w:gridCol w:w="5083"/>
        <w:gridCol w:w="5083"/>
      </w:tblGrid>
      <w:tr>
        <w:tc>
          <w:tcPr>
            <w:tcW w:type="dxa" w:w="5083"/>
            <w:shd w:fill="E9EEF5"/>
          </w:tcPr>
          <w:p>
            <w:r>
              <w:rPr>
                <w:b/>
              </w:rPr>
              <w:t>Entity</w:t>
            </w:r>
          </w:p>
        </w:tc>
        <w:tc>
          <w:tcPr>
            <w:tcW w:type="dxa" w:w="5083"/>
            <w:shd w:fill="E9EEF5"/>
          </w:tcPr>
          <w:p>
            <w:r>
              <w:rPr>
                <w:b/>
              </w:rPr>
              <w:t>Purpose</w:t>
            </w:r>
          </w:p>
        </w:tc>
      </w:tr>
      <w:tr>
        <w:tc>
          <w:tcPr>
            <w:tcW w:type="dxa" w:w="5083"/>
          </w:tcPr>
          <w:p>
            <w:r>
              <w:t>Organization</w:t>
            </w:r>
          </w:p>
        </w:tc>
        <w:tc>
          <w:tcPr>
            <w:tcW w:type="dxa" w:w="5083"/>
          </w:tcPr>
          <w:p>
            <w:r>
              <w:t>Tenant/workspace boundary</w:t>
            </w:r>
          </w:p>
        </w:tc>
      </w:tr>
      <w:tr>
        <w:tc>
          <w:tcPr>
            <w:tcW w:type="dxa" w:w="5083"/>
          </w:tcPr>
          <w:p>
            <w:r>
              <w:t>User</w:t>
            </w:r>
          </w:p>
        </w:tc>
        <w:tc>
          <w:tcPr>
            <w:tcW w:type="dxa" w:w="5083"/>
          </w:tcPr>
          <w:p>
            <w:r>
              <w:t>Human identity</w:t>
            </w:r>
          </w:p>
        </w:tc>
      </w:tr>
      <w:tr>
        <w:tc>
          <w:tcPr>
            <w:tcW w:type="dxa" w:w="5083"/>
          </w:tcPr>
          <w:p>
            <w:r>
              <w:t>Membership</w:t>
            </w:r>
          </w:p>
        </w:tc>
        <w:tc>
          <w:tcPr>
            <w:tcW w:type="dxa" w:w="5083"/>
          </w:tcPr>
          <w:p>
            <w:r>
              <w:t>User-to-organization role</w:t>
            </w:r>
          </w:p>
        </w:tc>
      </w:tr>
      <w:tr>
        <w:tc>
          <w:tcPr>
            <w:tcW w:type="dxa" w:w="5083"/>
          </w:tcPr>
          <w:p>
            <w:r>
              <w:t>Vendor</w:t>
            </w:r>
          </w:p>
        </w:tc>
        <w:tc>
          <w:tcPr>
            <w:tcW w:type="dxa" w:w="5083"/>
          </w:tcPr>
          <w:p>
            <w:r>
              <w:t>Counterparty</w:t>
            </w:r>
          </w:p>
        </w:tc>
      </w:tr>
      <w:tr>
        <w:tc>
          <w:tcPr>
            <w:tcW w:type="dxa" w:w="5083"/>
          </w:tcPr>
          <w:p>
            <w:r>
              <w:t>VendorDestination</w:t>
            </w:r>
          </w:p>
        </w:tc>
        <w:tc>
          <w:tcPr>
            <w:tcW w:type="dxa" w:w="5083"/>
          </w:tcPr>
          <w:p>
            <w:r>
              <w:t>Versioned/verified payment destination</w:t>
            </w:r>
          </w:p>
        </w:tc>
      </w:tr>
      <w:tr>
        <w:tc>
          <w:tcPr>
            <w:tcW w:type="dxa" w:w="5083"/>
          </w:tcPr>
          <w:p>
            <w:r>
              <w:t>Obligation</w:t>
            </w:r>
          </w:p>
        </w:tc>
        <w:tc>
          <w:tcPr>
            <w:tcW w:type="dxa" w:w="5083"/>
          </w:tcPr>
          <w:p>
            <w:r>
              <w:t>Core business liability/request</w:t>
            </w:r>
          </w:p>
        </w:tc>
      </w:tr>
      <w:tr>
        <w:tc>
          <w:tcPr>
            <w:tcW w:type="dxa" w:w="5083"/>
          </w:tcPr>
          <w:p>
            <w:r>
              <w:t>ObligationSource</w:t>
            </w:r>
          </w:p>
        </w:tc>
        <w:tc>
          <w:tcPr>
            <w:tcW w:type="dxa" w:w="5083"/>
          </w:tcPr>
          <w:p>
            <w:r>
              <w:t>Invoice/manual/source provenance</w:t>
            </w:r>
          </w:p>
        </w:tc>
      </w:tr>
      <w:tr>
        <w:tc>
          <w:tcPr>
            <w:tcW w:type="dxa" w:w="5083"/>
          </w:tcPr>
          <w:p>
            <w:r>
              <w:t>Policy</w:t>
            </w:r>
          </w:p>
        </w:tc>
        <w:tc>
          <w:tcPr>
            <w:tcW w:type="dxa" w:w="5083"/>
          </w:tcPr>
          <w:p>
            <w:r>
              <w:t>Deterministic financial control</w:t>
            </w:r>
          </w:p>
        </w:tc>
      </w:tr>
      <w:tr>
        <w:tc>
          <w:tcPr>
            <w:tcW w:type="dxa" w:w="5083"/>
          </w:tcPr>
          <w:p>
            <w:r>
              <w:t>PolicyDecision</w:t>
            </w:r>
          </w:p>
        </w:tc>
        <w:tc>
          <w:tcPr>
            <w:tcW w:type="dxa" w:w="5083"/>
          </w:tcPr>
          <w:p>
            <w:r>
              <w:t>Recorded evaluation</w:t>
            </w:r>
          </w:p>
        </w:tc>
      </w:tr>
      <w:tr>
        <w:tc>
          <w:tcPr>
            <w:tcW w:type="dxa" w:w="5083"/>
          </w:tcPr>
          <w:p>
            <w:r>
              <w:t>ApprovalRequirement</w:t>
            </w:r>
          </w:p>
        </w:tc>
        <w:tc>
          <w:tcPr>
            <w:tcW w:type="dxa" w:w="5083"/>
          </w:tcPr>
          <w:p>
            <w:r>
              <w:t>Required approvals</w:t>
            </w:r>
          </w:p>
        </w:tc>
      </w:tr>
      <w:tr>
        <w:tc>
          <w:tcPr>
            <w:tcW w:type="dxa" w:w="5083"/>
          </w:tcPr>
          <w:p>
            <w:r>
              <w:t>Approval</w:t>
            </w:r>
          </w:p>
        </w:tc>
        <w:tc>
          <w:tcPr>
            <w:tcW w:type="dxa" w:w="5083"/>
          </w:tcPr>
          <w:p>
            <w:r>
              <w:t>Human approval/rejection</w:t>
            </w:r>
          </w:p>
        </w:tc>
      </w:tr>
      <w:tr>
        <w:tc>
          <w:tcPr>
            <w:tcW w:type="dxa" w:w="5083"/>
          </w:tcPr>
          <w:p>
            <w:r>
              <w:t>SettlementIntent</w:t>
            </w:r>
          </w:p>
        </w:tc>
        <w:tc>
          <w:tcPr>
            <w:tcW w:type="dxa" w:w="5083"/>
          </w:tcPr>
          <w:p>
            <w:r>
              <w:t>Approved business intent to settle</w:t>
            </w:r>
          </w:p>
        </w:tc>
      </w:tr>
      <w:tr>
        <w:tc>
          <w:tcPr>
            <w:tcW w:type="dxa" w:w="5083"/>
          </w:tcPr>
          <w:p>
            <w:r>
              <w:t>SettlementQuote</w:t>
            </w:r>
          </w:p>
        </w:tc>
        <w:tc>
          <w:tcPr>
            <w:tcW w:type="dxa" w:w="5083"/>
          </w:tcPr>
          <w:p>
            <w:r>
              <w:t>Fiat/ZEC quote snapshot</w:t>
            </w:r>
          </w:p>
        </w:tc>
      </w:tr>
      <w:tr>
        <w:tc>
          <w:tcPr>
            <w:tcW w:type="dxa" w:w="5083"/>
          </w:tcPr>
          <w:p>
            <w:r>
              <w:t>Settlement</w:t>
            </w:r>
          </w:p>
        </w:tc>
        <w:tc>
          <w:tcPr>
            <w:tcW w:type="dxa" w:w="5083"/>
          </w:tcPr>
          <w:p>
            <w:r>
              <w:t>Settlement lifecycle record</w:t>
            </w:r>
          </w:p>
        </w:tc>
      </w:tr>
      <w:tr>
        <w:tc>
          <w:tcPr>
            <w:tcW w:type="dxa" w:w="5083"/>
          </w:tcPr>
          <w:p>
            <w:r>
              <w:t>SettlementObservation</w:t>
            </w:r>
          </w:p>
        </w:tc>
        <w:tc>
          <w:tcPr>
            <w:tcW w:type="dxa" w:w="5083"/>
          </w:tcPr>
          <w:p>
            <w:r>
              <w:t>Network observations/confirmations</w:t>
            </w:r>
          </w:p>
        </w:tc>
      </w:tr>
      <w:tr>
        <w:tc>
          <w:tcPr>
            <w:tcW w:type="dxa" w:w="5083"/>
          </w:tcPr>
          <w:p>
            <w:r>
              <w:t>LedgerEntry</w:t>
            </w:r>
          </w:p>
        </w:tc>
        <w:tc>
          <w:tcPr>
            <w:tcW w:type="dxa" w:w="5083"/>
          </w:tcPr>
          <w:p>
            <w:r>
              <w:t>Private business ledger record</w:t>
            </w:r>
          </w:p>
        </w:tc>
      </w:tr>
      <w:tr>
        <w:tc>
          <w:tcPr>
            <w:tcW w:type="dxa" w:w="5083"/>
          </w:tcPr>
          <w:p>
            <w:r>
              <w:t>EvidencePackage</w:t>
            </w:r>
          </w:p>
        </w:tc>
        <w:tc>
          <w:tcPr>
            <w:tcW w:type="dxa" w:w="5083"/>
          </w:tcPr>
          <w:p>
            <w:r>
              <w:t>Controlled disclosure artifact</w:t>
            </w:r>
          </w:p>
        </w:tc>
      </w:tr>
      <w:tr>
        <w:tc>
          <w:tcPr>
            <w:tcW w:type="dxa" w:w="5083"/>
          </w:tcPr>
          <w:p>
            <w:r>
              <w:t>EvidenceDisclosure</w:t>
            </w:r>
          </w:p>
        </w:tc>
        <w:tc>
          <w:tcPr>
            <w:tcW w:type="dxa" w:w="5083"/>
          </w:tcPr>
          <w:p>
            <w:r>
              <w:t>Fields/claims disclosed</w:t>
            </w:r>
          </w:p>
        </w:tc>
      </w:tr>
      <w:tr>
        <w:tc>
          <w:tcPr>
            <w:tcW w:type="dxa" w:w="5083"/>
          </w:tcPr>
          <w:p>
            <w:r>
              <w:t>AuditEvent</w:t>
            </w:r>
          </w:p>
        </w:tc>
        <w:tc>
          <w:tcPr>
            <w:tcW w:type="dxa" w:w="5083"/>
          </w:tcPr>
          <w:p>
            <w:r>
              <w:t>Tamper-evident privileged/business event</w:t>
            </w:r>
          </w:p>
        </w:tc>
      </w:tr>
    </w:tbl>
    <w:p>
      <w:pPr>
        <w:pStyle w:val="Heading1"/>
      </w:pPr>
      <w:r>
        <w:t>9. Database Schema Requirements</w:t>
      </w:r>
    </w:p>
    <w:p>
      <w:r>
        <w:t>Use PostgreSQL. Every tenant-owned table carries organization_id unless global by design. Use UUID/ULID-style opaque IDs. Money is integer minor units or exact decimal/integer zatoshi representation; never IEEE floating point.</w:t>
      </w:r>
    </w:p>
    <w:p>
      <w:pPr>
        <w:ind w:left="317"/>
      </w:pPr>
      <w:r>
        <w:rPr>
          <w:rFonts w:ascii="Consolas" w:hAnsi="Consolas"/>
          <w:sz w:val="16"/>
        </w:rPr>
        <w:t>organizations(id, name, created_at)</w:t>
        <w:br/>
        <w:t>users(id, ...)</w:t>
        <w:br/>
        <w:t>memberships(id, organization_id, user_id, role, status)</w:t>
        <w:br/>
        <w:br/>
        <w:t>vendors(id, organization_id, legal_name, display_name, status, category, created_at)</w:t>
        <w:br/>
        <w:t>vendor_destinations(id, organization_id, vendor_id, network, receiver, fingerprint,</w:t>
        <w:br/>
        <w:t xml:space="preserve">                    verification_status, verified_at, superseded_at)</w:t>
        <w:br/>
        <w:br/>
        <w:t>obligations(id, organization_id, vendor_id, type, reference, currency,</w:t>
        <w:br/>
        <w:t xml:space="preserve">            amount_minor, due_at, state, source_id, created_by, created_at)</w:t>
        <w:br/>
        <w:t>obligation_sources(id, organization_id, kind, storage_ref, content_hash, metadata_json)</w:t>
        <w:br/>
        <w:br/>
        <w:t>policies(id, organization_id, name, enabled, rule_json, version)</w:t>
        <w:br/>
        <w:t>policy_decisions(id, organization_id, obligation_id, policy_id, result,</w:t>
        <w:br/>
        <w:t xml:space="preserve">                 reasons_json, evaluated_at)</w:t>
        <w:br/>
        <w:br/>
        <w:t>approval_requirements(id, organization_id, obligation_id, role_or_actor,</w:t>
        <w:br/>
        <w:t xml:space="preserve">                      threshold_group, state)</w:t>
        <w:br/>
        <w:t>approvals(id, organization_id, obligation_id, actor_id, decision, note, created_at)</w:t>
        <w:br/>
        <w:br/>
        <w:t>settlement_intents(id, organization_id, obligation_id, state, privacy_mode,</w:t>
        <w:br/>
        <w:t xml:space="preserve">                   destination_id, created_at)</w:t>
        <w:br/>
        <w:t>settlement_quotes(id, organization_id, settlement_intent_id, fiat_currency,</w:t>
        <w:br/>
        <w:t xml:space="preserve">                  fiat_amount_minor, zatoshi_amount, source, expires_at)</w:t>
        <w:br/>
        <w:t>settlements(id, organization_id, obligation_id, intent_id, state, tx_ref_private,</w:t>
        <w:br/>
        <w:t xml:space="preserve">            broadcast_at, settled_at)</w:t>
        <w:br/>
        <w:t>settlement_observations(id, organization_id, settlement_id, kind, block_height,</w:t>
        <w:br/>
        <w:t xml:space="preserve">                        confirmations, observed_at, evidence_json)</w:t>
        <w:br/>
        <w:br/>
        <w:t>ledger_entries(id, organization_id, obligation_id, settlement_id, category,</w:t>
        <w:br/>
        <w:t xml:space="preserve">               fiat_currency, fiat_amount_minor, booked_at)</w:t>
        <w:br/>
        <w:br/>
        <w:t>evidence_packages(id, organization_id, obligation_id, settlement_id, status,</w:t>
        <w:br/>
        <w:t xml:space="preserve">                  artifact_hash, created_by, created_at)</w:t>
        <w:br/>
        <w:t>evidence_disclosures(id, evidence_package_id, field_key, disclosed_value_hash)</w:t>
        <w:br/>
        <w:br/>
        <w:t>audit_events(id, organization_id, actor_type, actor_id, event_type,</w:t>
        <w:br/>
        <w:t xml:space="preserve">             subject_type, subject_id, payload_hash, previous_hash, created_at)</w:t>
      </w:r>
    </w:p>
    <w:p>
      <w:pPr>
        <w:pStyle w:val="Heading1"/>
      </w:pPr>
      <w:r>
        <w:t>10. State Machines</w:t>
      </w:r>
    </w:p>
    <w:p>
      <w:pPr>
        <w:pStyle w:val="Heading2"/>
      </w:pPr>
      <w:r>
        <w:t>10.1 Obligation</w:t>
      </w:r>
    </w:p>
    <w:p>
      <w:pPr>
        <w:ind w:left="317"/>
      </w:pPr>
      <w:r>
        <w:rPr>
          <w:rFonts w:ascii="Consolas" w:hAnsi="Consolas"/>
          <w:sz w:val="16"/>
        </w:rPr>
        <w:t>DRAFT → UNDER_REVIEW → APPROVAL_REQUIRED → APPROVED → READY_TO_SETTLE → SETTLEMENT_PREPARED → SIGNING → BROADCAST → CONFIRMING → SETTLED</w:t>
      </w:r>
    </w:p>
    <w:p>
      <w:r>
        <w:t>Exceptional: REJECTED, CANCELLED, EXPIRED, BLOCKED, SETTLEMENT_FAILED, RECONCILIATION_EXCEPTION.</w:t>
      </w:r>
    </w:p>
    <w:p>
      <w:pPr>
        <w:pStyle w:val="Heading2"/>
      </w:pPr>
      <w:r>
        <w:t>10.2 Approval</w:t>
      </w:r>
    </w:p>
    <w:p>
      <w:pPr>
        <w:ind w:left="317"/>
      </w:pPr>
      <w:r>
        <w:rPr>
          <w:rFonts w:ascii="Consolas" w:hAnsi="Consolas"/>
          <w:sz w:val="16"/>
        </w:rPr>
        <w:t>NOT_REQUIRED | PENDING → APPROVED | REJECTED | INVALIDATED</w:t>
      </w:r>
    </w:p>
    <w:p>
      <w:r>
        <w:t>Material obligation/destination changes invalidate approvals according to policy.</w:t>
      </w:r>
    </w:p>
    <w:p>
      <w:pPr>
        <w:pStyle w:val="Heading2"/>
      </w:pPr>
      <w:r>
        <w:t>10.3 Settlement</w:t>
      </w:r>
    </w:p>
    <w:p>
      <w:pPr>
        <w:ind w:left="317"/>
      </w:pPr>
      <w:r>
        <w:rPr>
          <w:rFonts w:ascii="Consolas" w:hAnsi="Consolas"/>
          <w:sz w:val="16"/>
        </w:rPr>
        <w:t>NOT_CREATED → PREPARED → AWAITING_SIGNATURE → SIGNED → BROADCAST → DETECTED → CONFIRMING → SETTLED</w:t>
      </w:r>
    </w:p>
    <w:p>
      <w:r>
        <w:t>Failure states are explicit. BROADCAST is never equivalent to SETTLED. Scanner/RPC failure is never equivalent to unpaid.</w:t>
      </w:r>
    </w:p>
    <w:p>
      <w:pPr>
        <w:pStyle w:val="Heading1"/>
      </w:pPr>
      <w:r>
        <w:t>11. Zcash Integration Decisions</w:t>
      </w:r>
    </w:p>
    <w:p>
      <w:pPr>
        <w:pStyle w:val="ListBullet"/>
      </w:pPr>
      <w:r>
        <w:t>Zcash shielded settlement is required for the competition-critical product path.</w:t>
      </w:r>
    </w:p>
    <w:p>
      <w:pPr>
        <w:pStyle w:val="ListBullet"/>
      </w:pPr>
      <w:r>
        <w:t>Prefer modern shielded receivers/Unified Address semantics appropriate to current tooling.</w:t>
      </w:r>
    </w:p>
    <w:p>
      <w:pPr>
        <w:pStyle w:val="ListBullet"/>
      </w:pPr>
      <w:r>
        <w:t>ZIP-321 is the canonical payment-request standard where compatible.</w:t>
      </w:r>
    </w:p>
    <w:p>
      <w:pPr>
        <w:pStyle w:val="ListBullet"/>
      </w:pPr>
      <w:r>
        <w:t>Use an opaque obligation reference in encrypted memo metadata; never put sensitive invoice prose in a memo.</w:t>
      </w:r>
    </w:p>
    <w:p>
      <w:pPr>
        <w:pStyle w:val="ListBullet"/>
      </w:pPr>
      <w:r>
        <w:t>Prefer a unique/diversified receiver correlation strategy where technically supported; do not rely only on amount matching.</w:t>
      </w:r>
    </w:p>
    <w:p>
      <w:pPr>
        <w:pStyle w:val="ListBullet"/>
      </w:pPr>
      <w:r>
        <w:t>Reconciliation uses read-only viewing capability; viewing material is sensitive and server-side only.</w:t>
      </w:r>
    </w:p>
    <w:p>
      <w:pPr>
        <w:pStyle w:val="ListBullet"/>
      </w:pPr>
      <w:r>
        <w:t>Fiat is the business denomination; ZEC is settlement. Quote snapshots include source, exact amount and expiry.</w:t>
      </w:r>
    </w:p>
    <w:p>
      <w:pPr>
        <w:pStyle w:val="ListBullet"/>
      </w:pPr>
      <w:r>
        <w:t>PCZT interfaces should influence boundaries, but V1 must not require unfinished integration to succeed.</w:t>
      </w:r>
    </w:p>
    <w:p>
      <w:pPr>
        <w:pStyle w:val="ListBullet"/>
      </w:pPr>
      <w:r>
        <w:t>FROST is an advanced organizational signing path; implement only if real and stable within schedule. Never simulate it.</w:t>
      </w:r>
    </w:p>
    <w:p>
      <w:pPr>
        <w:pStyle w:val="ListBullet"/>
      </w:pPr>
      <w:r>
        <w:t>Do not claim native private stablecoin settlement on Zcash.</w:t>
      </w:r>
    </w:p>
    <w:p>
      <w:pPr>
        <w:pStyle w:val="ListBullet"/>
      </w:pPr>
      <w:r>
        <w:t>Do not make CrossPay or any third-party conversion path critical until API/integration behavior is verified.</w:t>
      </w:r>
    </w:p>
    <w:p>
      <w:pPr>
        <w:pStyle w:val="Heading1"/>
      </w:pPr>
      <w:r>
        <w:t>12. Wallet and Signing Architecture</w:t>
      </w:r>
    </w:p>
    <w:p>
      <w:pPr>
        <w:ind w:left="317"/>
      </w:pPr>
      <w:r>
        <w:rPr>
          <w:rFonts w:ascii="Consolas" w:hAnsi="Consolas"/>
          <w:sz w:val="16"/>
        </w:rPr>
        <w:t>Application</w:t>
        <w:br/>
        <w:t xml:space="preserve">   ↓</w:t>
        <w:br/>
        <w:t>deterministic readiness checks</w:t>
        <w:br/>
        <w:t xml:space="preserve">   ↓</w:t>
        <w:br/>
        <w:t>SettlementIntent + exact quote</w:t>
        <w:br/>
        <w:t xml:space="preserve">   ↓</w:t>
        <w:br/>
        <w:t>signing handoff / transaction construction boundary</w:t>
        <w:br/>
        <w:t xml:space="preserve">   ↓</w:t>
        <w:br/>
        <w:t>AUTHORIZED USER / WALLET / SIGNER</w:t>
        <w:br/>
        <w:t xml:space="preserve">   ↓</w:t>
        <w:br/>
        <w:t>signed transaction</w:t>
        <w:br/>
        <w:t xml:space="preserve">   ↓</w:t>
        <w:br/>
        <w:t>broadcast</w:t>
        <w:br/>
        <w:t xml:space="preserve">   ↓</w:t>
        <w:br/>
        <w:t>read-only reconciliation</w:t>
      </w:r>
    </w:p>
    <w:p>
      <w:r>
        <w:t>Business approval and cryptographic authorization are separate concepts. The backend never stores a seed phrase, private spending key, or unrestricted signer credential.</w:t>
      </w:r>
    </w:p>
    <w:p>
      <w:pPr>
        <w:pStyle w:val="Heading1"/>
      </w:pPr>
      <w:r>
        <w:t>13. Privacy Model</w:t>
      </w:r>
    </w:p>
    <w:tbl>
      <w:tblPr>
        <w:tblStyle w:val="TableGrid"/>
        <w:tblW w:type="auto" w:w="0"/>
        <w:tblLook w:firstColumn="1" w:firstRow="1" w:lastColumn="0" w:lastRow="0" w:noHBand="0" w:noVBand="1" w:val="04A0"/>
      </w:tblPr>
      <w:tblGrid>
        <w:gridCol w:w="5083"/>
        <w:gridCol w:w="5083"/>
      </w:tblGrid>
      <w:tr>
        <w:tc>
          <w:tcPr>
            <w:tcW w:type="dxa" w:w="5083"/>
            <w:shd w:fill="E9EEF5"/>
          </w:tcPr>
          <w:p>
            <w:r>
              <w:rPr>
                <w:b/>
              </w:rPr>
              <w:t>Party</w:t>
            </w:r>
          </w:p>
        </w:tc>
        <w:tc>
          <w:tcPr>
            <w:tcW w:type="dxa" w:w="5083"/>
            <w:shd w:fill="E9EEF5"/>
          </w:tcPr>
          <w:p>
            <w:r>
              <w:rPr>
                <w:b/>
              </w:rPr>
              <w:t>Expected visibility</w:t>
            </w:r>
          </w:p>
        </w:tc>
      </w:tr>
      <w:tr>
        <w:tc>
          <w:tcPr>
            <w:tcW w:type="dxa" w:w="5083"/>
          </w:tcPr>
          <w:p>
            <w:r>
              <w:t>Public observer</w:t>
            </w:r>
          </w:p>
        </w:tc>
        <w:tc>
          <w:tcPr>
            <w:tcW w:type="dxa" w:w="5083"/>
          </w:tcPr>
          <w:p>
            <w:r>
              <w:t>No business/vendor relationship, invoice reference, internal approvals or full treasury history from Obliq application data; shielded settlement protects chain-visible relationship/amount according to Zcash semantics.</w:t>
            </w:r>
          </w:p>
        </w:tc>
      </w:tr>
      <w:tr>
        <w:tc>
          <w:tcPr>
            <w:tcW w:type="dxa" w:w="5083"/>
          </w:tcPr>
          <w:p>
            <w:r>
              <w:t>Finance team</w:t>
            </w:r>
          </w:p>
        </w:tc>
        <w:tc>
          <w:tcPr>
            <w:tcW w:type="dxa" w:w="5083"/>
          </w:tcPr>
          <w:p>
            <w:r>
              <w:t>Operational obligation, vendor, policy, approval and settlement records appropriate to role.</w:t>
            </w:r>
          </w:p>
        </w:tc>
      </w:tr>
      <w:tr>
        <w:tc>
          <w:tcPr>
            <w:tcW w:type="dxa" w:w="5083"/>
          </w:tcPr>
          <w:p>
            <w:r>
              <w:t>Treasury signer</w:t>
            </w:r>
          </w:p>
        </w:tc>
        <w:tc>
          <w:tcPr>
            <w:tcW w:type="dxa" w:w="5083"/>
          </w:tcPr>
          <w:p>
            <w:r>
              <w:t>Exact settlement intent and business context required for authorization.</w:t>
            </w:r>
          </w:p>
        </w:tc>
      </w:tr>
      <w:tr>
        <w:tc>
          <w:tcPr>
            <w:tcW w:type="dxa" w:w="5083"/>
          </w:tcPr>
          <w:p>
            <w:r>
              <w:t>Accountant</w:t>
            </w:r>
          </w:p>
        </w:tc>
        <w:tc>
          <w:tcPr>
            <w:tcW w:type="dxa" w:w="5083"/>
          </w:tcPr>
          <w:p>
            <w:r>
              <w:t>Authorized financial records/exports/evidence, not treasury spend authority.</w:t>
            </w:r>
          </w:p>
        </w:tc>
      </w:tr>
      <w:tr>
        <w:tc>
          <w:tcPr>
            <w:tcW w:type="dxa" w:w="5083"/>
          </w:tcPr>
          <w:p>
            <w:r>
              <w:t>Vendor</w:t>
            </w:r>
          </w:p>
        </w:tc>
        <w:tc>
          <w:tcPr>
            <w:tcW w:type="dxa" w:w="5083"/>
          </w:tcPr>
          <w:p>
            <w:r>
              <w:t>Their obligation/payment/receipt only.</w:t>
            </w:r>
          </w:p>
        </w:tc>
      </w:tr>
      <w:tr>
        <w:tc>
          <w:tcPr>
            <w:tcW w:type="dxa" w:w="5083"/>
          </w:tcPr>
          <w:p>
            <w:r>
              <w:t>Obliq backend</w:t>
            </w:r>
          </w:p>
        </w:tc>
        <w:tc>
          <w:tcPr>
            <w:tcW w:type="dxa" w:w="5083"/>
          </w:tcPr>
          <w:p>
            <w:r>
              <w:t>Operational application data plus minimum viewing capability required for reconciliation; no spend authority.</w:t>
            </w:r>
          </w:p>
        </w:tc>
      </w:tr>
    </w:tbl>
    <w:p>
      <w:pPr>
        <w:pStyle w:val="Heading1"/>
      </w:pPr>
      <w:r>
        <w:t>14. Threat Model</w:t>
      </w:r>
    </w:p>
    <w:tbl>
      <w:tblPr>
        <w:tblStyle w:val="TableGrid"/>
        <w:tblW w:type="auto" w:w="0"/>
        <w:tblLook w:firstColumn="1" w:firstRow="1" w:lastColumn="0" w:lastRow="0" w:noHBand="0" w:noVBand="1" w:val="04A0"/>
      </w:tblPr>
      <w:tblGrid>
        <w:gridCol w:w="5083"/>
        <w:gridCol w:w="5083"/>
      </w:tblGrid>
      <w:tr>
        <w:tc>
          <w:tcPr>
            <w:tcW w:type="dxa" w:w="5083"/>
            <w:shd w:fill="E9EEF5"/>
          </w:tcPr>
          <w:p>
            <w:r>
              <w:rPr>
                <w:b/>
              </w:rPr>
              <w:t>Threat</w:t>
            </w:r>
          </w:p>
        </w:tc>
        <w:tc>
          <w:tcPr>
            <w:tcW w:type="dxa" w:w="5083"/>
            <w:shd w:fill="E9EEF5"/>
          </w:tcPr>
          <w:p>
            <w:r>
              <w:rPr>
                <w:b/>
              </w:rPr>
              <w:t>Required defense</w:t>
            </w:r>
          </w:p>
        </w:tc>
      </w:tr>
      <w:tr>
        <w:tc>
          <w:tcPr>
            <w:tcW w:type="dxa" w:w="5083"/>
          </w:tcPr>
          <w:p>
            <w:r>
              <w:t>Compromised app server</w:t>
            </w:r>
          </w:p>
        </w:tc>
        <w:tc>
          <w:tcPr>
            <w:tcW w:type="dxa" w:w="5083"/>
          </w:tcPr>
          <w:p>
            <w:r>
              <w:t>No treasury spend authority; secrets isolated; least privilege.</w:t>
            </w:r>
          </w:p>
        </w:tc>
      </w:tr>
      <w:tr>
        <w:tc>
          <w:tcPr>
            <w:tcW w:type="dxa" w:w="5083"/>
          </w:tcPr>
          <w:p>
            <w:r>
              <w:t>Compromised AI provider</w:t>
            </w:r>
          </w:p>
        </w:tc>
        <w:tc>
          <w:tcPr>
            <w:tcW w:type="dxa" w:w="5083"/>
          </w:tcPr>
          <w:p>
            <w:r>
              <w:t>No signing/approval/broadcast capability; minimize sensitive data sent.</w:t>
            </w:r>
          </w:p>
        </w:tc>
      </w:tr>
      <w:tr>
        <w:tc>
          <w:tcPr>
            <w:tcW w:type="dxa" w:w="5083"/>
          </w:tcPr>
          <w:p>
            <w:r>
              <w:t>Malicious finance employee</w:t>
            </w:r>
          </w:p>
        </w:tc>
        <w:tc>
          <w:tcPr>
            <w:tcW w:type="dxa" w:w="5083"/>
          </w:tcPr>
          <w:p>
            <w:r>
              <w:t>Cannot bypass deterministic policies/required approvals.</w:t>
            </w:r>
          </w:p>
        </w:tc>
      </w:tr>
      <w:tr>
        <w:tc>
          <w:tcPr>
            <w:tcW w:type="dxa" w:w="5083"/>
          </w:tcPr>
          <w:p>
            <w:r>
              <w:t>Invoice destination substitution</w:t>
            </w:r>
          </w:p>
        </w:tc>
        <w:tc>
          <w:tcPr>
            <w:tcW w:type="dxa" w:w="5083"/>
          </w:tcPr>
          <w:p>
            <w:r>
              <w:t>Versioned destinations; changes block/reverify and invalidate affected approvals.</w:t>
            </w:r>
          </w:p>
        </w:tc>
      </w:tr>
      <w:tr>
        <w:tc>
          <w:tcPr>
            <w:tcW w:type="dxa" w:w="5083"/>
          </w:tcPr>
          <w:p>
            <w:r>
              <w:t>Duplicate invoice</w:t>
            </w:r>
          </w:p>
        </w:tc>
        <w:tc>
          <w:tcPr>
            <w:tcW w:type="dxa" w:w="5083"/>
          </w:tcPr>
          <w:p>
            <w:r>
              <w:t>Content/reference/vendor/amount fingerprinting and blocking workflow.</w:t>
            </w:r>
          </w:p>
        </w:tc>
      </w:tr>
      <w:tr>
        <w:tc>
          <w:tcPr>
            <w:tcW w:type="dxa" w:w="5083"/>
          </w:tcPr>
          <w:p>
            <w:r>
              <w:t>Viewing-key leak</w:t>
            </w:r>
          </w:p>
        </w:tc>
        <w:tc>
          <w:tcPr>
            <w:tcW w:type="dxa" w:w="5083"/>
          </w:tcPr>
          <w:p>
            <w:r>
              <w:t>Treat as severe privacy breach even though not spending breach; secret handling and incident documentation.</w:t>
            </w:r>
          </w:p>
        </w:tc>
      </w:tr>
      <w:tr>
        <w:tc>
          <w:tcPr>
            <w:tcW w:type="dxa" w:w="5083"/>
          </w:tcPr>
          <w:p>
            <w:r>
              <w:t>Database breach</w:t>
            </w:r>
          </w:p>
        </w:tc>
        <w:tc>
          <w:tcPr>
            <w:tcW w:type="dxa" w:w="5083"/>
          </w:tcPr>
          <w:p>
            <w:r>
              <w:t>Tenant isolation, encryption where appropriate, retention minimization, no spend keys.</w:t>
            </w:r>
          </w:p>
        </w:tc>
      </w:tr>
      <w:tr>
        <w:tc>
          <w:tcPr>
            <w:tcW w:type="dxa" w:w="5083"/>
          </w:tcPr>
          <w:p>
            <w:r>
              <w:t>RPC/indexer outage</w:t>
            </w:r>
          </w:p>
        </w:tc>
        <w:tc>
          <w:tcPr>
            <w:tcW w:type="dxa" w:w="5083"/>
          </w:tcPr>
          <w:p>
            <w:r>
              <w:t>Unavailable/unknown state, never fabricated paid/unpaid state.</w:t>
            </w:r>
          </w:p>
        </w:tc>
      </w:tr>
      <w:tr>
        <w:tc>
          <w:tcPr>
            <w:tcW w:type="dxa" w:w="5083"/>
          </w:tcPr>
          <w:p>
            <w:r>
              <w:t>Quote expiry / ZEC volatility</w:t>
            </w:r>
          </w:p>
        </w:tc>
        <w:tc>
          <w:tcPr>
            <w:tcW w:type="dxa" w:w="5083"/>
          </w:tcPr>
          <w:p>
            <w:r>
              <w:t>Explicit quote expiry; re-quote before signing.</w:t>
            </w:r>
          </w:p>
        </w:tc>
      </w:tr>
      <w:tr>
        <w:tc>
          <w:tcPr>
            <w:tcW w:type="dxa" w:w="5083"/>
          </w:tcPr>
          <w:p>
            <w:r>
              <w:t>Replay/stale approval</w:t>
            </w:r>
          </w:p>
        </w:tc>
        <w:tc>
          <w:tcPr>
            <w:tcW w:type="dxa" w:w="5083"/>
          </w:tcPr>
          <w:p>
            <w:r>
              <w:t>Bind approvals to obligation/version/destination/amount state.</w:t>
            </w:r>
          </w:p>
        </w:tc>
      </w:tr>
      <w:tr>
        <w:tc>
          <w:tcPr>
            <w:tcW w:type="dxa" w:w="5083"/>
          </w:tcPr>
          <w:p>
            <w:r>
              <w:t>Evidence tampering</w:t>
            </w:r>
          </w:p>
        </w:tc>
        <w:tc>
          <w:tcPr>
            <w:tcW w:type="dxa" w:w="5083"/>
          </w:tcPr>
          <w:p>
            <w:r>
              <w:t>Artifact hash + audit event + verification surface.</w:t>
            </w:r>
          </w:p>
        </w:tc>
      </w:tr>
    </w:tbl>
    <w:p>
      <w:pPr>
        <w:pStyle w:val="Heading1"/>
      </w:pPr>
      <w:r>
        <w:t>15. AI Rules</w:t>
      </w:r>
    </w:p>
    <w:p>
      <w:r>
        <w:t>AI may extract invoice fields, classify, summarize, suggest vendors/categories, flag anomalies, assist reconciliation and answer finance questions.</w:t>
      </w:r>
    </w:p>
    <w:p>
      <w:r>
        <w:t>AI may NOT sign, broadcast, approve, alter policy, create/replace payment destinations without human verification, access spend keys, bypass validation, or turn low-confidence extraction into settlement-ready truth.</w:t>
      </w:r>
    </w:p>
    <w:p>
      <w:r>
        <w:t>All AI output used in money movement is schema-validated and human-reviewable. Deterministic code controls financial state transitions.</w:t>
      </w:r>
    </w:p>
    <w:p>
      <w:pPr>
        <w:pStyle w:val="Heading1"/>
      </w:pPr>
      <w:r>
        <w:t>16. Evidence Model</w:t>
      </w:r>
    </w:p>
    <w:p>
      <w:r>
        <w:t>V1 evidence is an application-generated, integrity-protected financial evidence package derived from Obliq's obligation, approval, settlement and reconciliation records. It is not described as a magical ZK selective-disclosure proof.</w:t>
      </w:r>
    </w:p>
    <w:p>
      <w:pPr>
        <w:pStyle w:val="ListBullet"/>
      </w:pPr>
      <w:r>
        <w:t>Selectable fields: obligation/reference, vendor, fiat value, settlement completion, settlement date, selected approval metadata, optional ZEC amount.</w:t>
      </w:r>
    </w:p>
    <w:p>
      <w:pPr>
        <w:pStyle w:val="ListBullet"/>
      </w:pPr>
      <w:r>
        <w:t>Artifact includes stable ID, creation time, issuer organization, disclosed fields, artifact/content hash and verification URL.</w:t>
      </w:r>
    </w:p>
    <w:p>
      <w:pPr>
        <w:pStyle w:val="ListBullet"/>
      </w:pPr>
      <w:r>
        <w:t>Downloadable PDF/structured export may be generated from the same canonical evidence data.</w:t>
      </w:r>
    </w:p>
    <w:p>
      <w:pPr>
        <w:pStyle w:val="ListBullet"/>
      </w:pPr>
      <w:r>
        <w:t>/verify/[id] validates artifact status/hash and displays only authorized/public disclosure fields.</w:t>
      </w:r>
    </w:p>
    <w:p>
      <w:pPr>
        <w:pStyle w:val="ListBullet"/>
      </w:pPr>
      <w:r>
        <w:t>Future cryptographic disclosure can extend this model without changing the obligation lifecycle.</w:t>
      </w:r>
    </w:p>
    <w:p>
      <w:pPr>
        <w:pStyle w:val="Heading1"/>
      </w:pPr>
      <w:r>
        <w:t>17. Audit Chain</w:t>
      </w:r>
    </w:p>
    <w:p>
      <w:r>
        <w:t>Every privileged or financially meaningful action emits an AuditEvent. Each event stores previous_hash and payload_hash to create a tamper-evident application chain. Never market this as a blockchain.</w:t>
      </w:r>
    </w:p>
    <w:p>
      <w:pPr>
        <w:pStyle w:val="ListBullet"/>
      </w:pPr>
      <w:r>
        <w:t>OBLIGATION_CREATED</w:t>
      </w:r>
    </w:p>
    <w:p>
      <w:pPr>
        <w:pStyle w:val="ListBullet"/>
      </w:pPr>
      <w:r>
        <w:t>INVOICE_PARSED</w:t>
      </w:r>
    </w:p>
    <w:p>
      <w:pPr>
        <w:pStyle w:val="ListBullet"/>
      </w:pPr>
      <w:r>
        <w:t>VENDOR_MATCHED</w:t>
      </w:r>
    </w:p>
    <w:p>
      <w:pPr>
        <w:pStyle w:val="ListBullet"/>
      </w:pPr>
      <w:r>
        <w:t>POLICY_EVALUATED</w:t>
      </w:r>
    </w:p>
    <w:p>
      <w:pPr>
        <w:pStyle w:val="ListBullet"/>
      </w:pPr>
      <w:r>
        <w:t>APPROVAL_REQUESTED</w:t>
      </w:r>
    </w:p>
    <w:p>
      <w:pPr>
        <w:pStyle w:val="ListBullet"/>
      </w:pPr>
      <w:r>
        <w:t>APPROVAL_GRANTED</w:t>
      </w:r>
    </w:p>
    <w:p>
      <w:pPr>
        <w:pStyle w:val="ListBullet"/>
      </w:pPr>
      <w:r>
        <w:t>DESTINATION_CHANGED</w:t>
      </w:r>
    </w:p>
    <w:p>
      <w:pPr>
        <w:pStyle w:val="ListBullet"/>
      </w:pPr>
      <w:r>
        <w:t>SETTLEMENT_PREPARED</w:t>
      </w:r>
    </w:p>
    <w:p>
      <w:pPr>
        <w:pStyle w:val="ListBullet"/>
      </w:pPr>
      <w:r>
        <w:t>SIGNING_REQUESTED</w:t>
      </w:r>
    </w:p>
    <w:p>
      <w:pPr>
        <w:pStyle w:val="ListBullet"/>
      </w:pPr>
      <w:r>
        <w:t>TRANSACTION_BROADCAST</w:t>
      </w:r>
    </w:p>
    <w:p>
      <w:pPr>
        <w:pStyle w:val="ListBullet"/>
      </w:pPr>
      <w:r>
        <w:t>PAYMENT_DETECTED</w:t>
      </w:r>
    </w:p>
    <w:p>
      <w:pPr>
        <w:pStyle w:val="ListBullet"/>
      </w:pPr>
      <w:r>
        <w:t>PAYMENT_CONFIRMED</w:t>
      </w:r>
    </w:p>
    <w:p>
      <w:pPr>
        <w:pStyle w:val="ListBullet"/>
      </w:pPr>
      <w:r>
        <w:t>OBLIGATION_SETTLED</w:t>
      </w:r>
    </w:p>
    <w:p>
      <w:pPr>
        <w:pStyle w:val="ListBullet"/>
      </w:pPr>
      <w:r>
        <w:t>EVIDENCE_CREATED</w:t>
      </w:r>
    </w:p>
    <w:p>
      <w:pPr>
        <w:pStyle w:val="ListBullet"/>
      </w:pPr>
      <w:r>
        <w:t>EVIDENCE_ACCESSED</w:t>
      </w:r>
    </w:p>
    <w:p>
      <w:pPr>
        <w:pStyle w:val="Heading1"/>
      </w:pPr>
      <w:r>
        <w:t>18. Documentation Requirements</w:t>
      </w:r>
    </w:p>
    <w:p>
      <w:r>
        <w:t>/docs is a first-class product surface and ships from Phase 0. Every implementation phase updates documentation alongside code and tests.</w:t>
      </w:r>
    </w:p>
    <w:p>
      <w:pPr>
        <w:pStyle w:val="ListBullet"/>
      </w:pPr>
      <w:r>
        <w:t>Getting Started: overview, quickstart, core concepts, demo walkthrough.</w:t>
      </w:r>
    </w:p>
    <w:p>
      <w:pPr>
        <w:pStyle w:val="ListBullet"/>
      </w:pPr>
      <w:r>
        <w:t>Financial Operations: obligations, vendors, policies, approvals, settlements, reconciliation, evidence.</w:t>
      </w:r>
    </w:p>
    <w:p>
      <w:pPr>
        <w:pStyle w:val="ListBullet"/>
      </w:pPr>
      <w:r>
        <w:t>Privacy: privacy model, what Zcash hides, what Obliq knows, viewing authority, disclosure model.</w:t>
      </w:r>
    </w:p>
    <w:p>
      <w:pPr>
        <w:pStyle w:val="ListBullet"/>
      </w:pPr>
      <w:r>
        <w:t>Zcash: architecture, ZIP-321, shielded settlement, viewing keys, PCZT, FROST.</w:t>
      </w:r>
    </w:p>
    <w:p>
      <w:pPr>
        <w:pStyle w:val="ListBullet"/>
      </w:pPr>
      <w:r>
        <w:t>Security: threat model, key separation, AI boundaries, settlement safety, audit trail.</w:t>
      </w:r>
    </w:p>
    <w:p>
      <w:pPr>
        <w:pStyle w:val="ListBullet"/>
      </w:pPr>
      <w:r>
        <w:t>Developers: architecture, domain model, API reference, state machines, environment setup.</w:t>
      </w:r>
    </w:p>
    <w:p>
      <w:pPr>
        <w:pStyle w:val="ListBullet"/>
      </w:pPr>
      <w:r>
        <w:t>Resources: FAQ, known limitations, roadmap, changelog.</w:t>
      </w:r>
    </w:p>
    <w:p>
      <w:r>
        <w:t>Docs UI: desktop left navigation + article + on-this-page rail; mobile responsive; diagrams/code/callouts/state machines; no giant generated-text walls.</w:t>
      </w:r>
    </w:p>
    <w:p>
      <w:pPr>
        <w:pStyle w:val="Heading1"/>
      </w:pPr>
      <w:r>
        <w:t>19. Landing Page Requirements</w:t>
      </w:r>
    </w:p>
    <w:p>
      <w:pPr>
        <w:pStyle w:val="ListBullet"/>
      </w:pPr>
      <w:r>
        <w:t>Pass 30-second comprehension test without narration.</w:t>
      </w:r>
    </w:p>
    <w:p>
      <w:pPr>
        <w:pStyle w:val="ListBullet"/>
      </w:pPr>
      <w:r>
        <w:t>Hero states customer problem and product in plain English.</w:t>
      </w:r>
    </w:p>
    <w:p>
      <w:pPr>
        <w:pStyle w:val="ListBullet"/>
      </w:pPr>
      <w:r>
        <w:t>Immediately show Invoice → Approve → Pay privately with Zcash → Reconcile.</w:t>
      </w:r>
    </w:p>
    <w:p>
      <w:pPr>
        <w:pStyle w:val="ListBullet"/>
      </w:pPr>
      <w:r>
        <w:t>Show real product UI, not generic crypto art.</w:t>
      </w:r>
    </w:p>
    <w:p>
      <w:pPr>
        <w:pStyle w:val="ListBullet"/>
      </w:pPr>
      <w:r>
        <w:t>Explain why public financial graphs are a business problem.</w:t>
      </w:r>
    </w:p>
    <w:p>
      <w:pPr>
        <w:pStyle w:val="ListBullet"/>
      </w:pPr>
      <w:r>
        <w:t>Explain self-custody: Obliq cannot spend treasury funds.</w:t>
      </w:r>
    </w:p>
    <w:p>
      <w:pPr>
        <w:pStyle w:val="ListBullet"/>
      </w:pPr>
      <w:r>
        <w:t>Explain Zcash role without protocol overload.</w:t>
      </w:r>
    </w:p>
    <w:p>
      <w:pPr>
        <w:pStyle w:val="ListBullet"/>
      </w:pPr>
      <w:r>
        <w:t>Show Capture → Control → Settle → Reconcile → Prove.</w:t>
      </w:r>
    </w:p>
    <w:p>
      <w:pPr>
        <w:pStyle w:val="ListBullet"/>
      </w:pPr>
      <w:r>
        <w:t>Link prominently to app, docs, security and proof.</w:t>
      </w:r>
    </w:p>
    <w:p>
      <w:pPr>
        <w:pStyle w:val="ListBullet"/>
      </w:pPr>
      <w:r>
        <w:t>Include credible limitations/status rather than exaggerated claims.</w:t>
      </w:r>
    </w:p>
    <w:p>
      <w:pPr>
        <w:pStyle w:val="Heading1"/>
      </w:pPr>
      <w:r>
        <w:t>20. /security Requirements</w:t>
      </w:r>
    </w:p>
    <w:p>
      <w:pPr>
        <w:pStyle w:val="ListBullet"/>
      </w:pPr>
      <w:r>
        <w:t>Visual key-separation diagram.</w:t>
      </w:r>
    </w:p>
    <w:p>
      <w:pPr>
        <w:pStyle w:val="ListBullet"/>
      </w:pPr>
      <w:r>
        <w:t>Explicit 'Obliq cannot spend your treasury funds' statement if architecture proves it.</w:t>
      </w:r>
    </w:p>
    <w:p>
      <w:pPr>
        <w:pStyle w:val="ListBullet"/>
      </w:pPr>
      <w:r>
        <w:t>AI authority boundaries.</w:t>
      </w:r>
    </w:p>
    <w:p>
      <w:pPr>
        <w:pStyle w:val="ListBullet"/>
      </w:pPr>
      <w:r>
        <w:t>Viewing-key sensitivity.</w:t>
      </w:r>
    </w:p>
    <w:p>
      <w:pPr>
        <w:pStyle w:val="ListBullet"/>
      </w:pPr>
      <w:r>
        <w:t>Destination-change controls.</w:t>
      </w:r>
    </w:p>
    <w:p>
      <w:pPr>
        <w:pStyle w:val="ListBullet"/>
      </w:pPr>
      <w:r>
        <w:t>Approval invalidation semantics.</w:t>
      </w:r>
    </w:p>
    <w:p>
      <w:pPr>
        <w:pStyle w:val="ListBullet"/>
      </w:pPr>
      <w:r>
        <w:t>RPC/scanner failure semantics.</w:t>
      </w:r>
    </w:p>
    <w:p>
      <w:pPr>
        <w:pStyle w:val="ListBullet"/>
      </w:pPr>
      <w:r>
        <w:t>Threat-model summary and link to full docs.</w:t>
      </w:r>
    </w:p>
    <w:p>
      <w:pPr>
        <w:pStyle w:val="ListBullet"/>
      </w:pPr>
      <w:r>
        <w:t>Responsible disclosure/contact placeholder only when real.</w:t>
      </w:r>
    </w:p>
    <w:p>
      <w:pPr>
        <w:pStyle w:val="Heading1"/>
      </w:pPr>
      <w:r>
        <w:t>21. /proof Requirements</w:t>
      </w:r>
    </w:p>
    <w:p>
      <w:r>
        <w:t>/proof is a technical judge surface. It must show only verifiable runtime/build claims.</w:t>
      </w:r>
    </w:p>
    <w:tbl>
      <w:tblPr>
        <w:tblStyle w:val="TableGrid"/>
        <w:tblW w:type="auto" w:w="0"/>
        <w:tblLook w:firstColumn="1" w:firstRow="1" w:lastColumn="0" w:lastRow="0" w:noHBand="0" w:noVBand="1" w:val="04A0"/>
      </w:tblPr>
      <w:tblGrid>
        <w:gridCol w:w="5083"/>
        <w:gridCol w:w="5083"/>
      </w:tblGrid>
      <w:tr>
        <w:tc>
          <w:tcPr>
            <w:tcW w:type="dxa" w:w="5083"/>
            <w:shd w:fill="E9EEF5"/>
          </w:tcPr>
          <w:p>
            <w:r>
              <w:rPr>
                <w:b/>
              </w:rPr>
              <w:t>Proof item</w:t>
            </w:r>
          </w:p>
        </w:tc>
        <w:tc>
          <w:tcPr>
            <w:tcW w:type="dxa" w:w="5083"/>
            <w:shd w:fill="E9EEF5"/>
          </w:tcPr>
          <w:p>
            <w:r>
              <w:rPr>
                <w:b/>
              </w:rPr>
              <w:t>Example status</w:t>
            </w:r>
          </w:p>
        </w:tc>
      </w:tr>
      <w:tr>
        <w:tc>
          <w:tcPr>
            <w:tcW w:type="dxa" w:w="5083"/>
          </w:tcPr>
          <w:p>
            <w:r>
              <w:t>Zcash network</w:t>
            </w:r>
          </w:p>
        </w:tc>
        <w:tc>
          <w:tcPr>
            <w:tcW w:type="dxa" w:w="5083"/>
          </w:tcPr>
          <w:p>
            <w:r>
              <w:t>CONNECTED / UNAVAILABLE</w:t>
            </w:r>
          </w:p>
        </w:tc>
      </w:tr>
      <w:tr>
        <w:tc>
          <w:tcPr>
            <w:tcW w:type="dxa" w:w="5083"/>
          </w:tcPr>
          <w:p>
            <w:r>
              <w:t>Settlement mode</w:t>
            </w:r>
          </w:p>
        </w:tc>
        <w:tc>
          <w:tcPr>
            <w:tcW w:type="dxa" w:w="5083"/>
          </w:tcPr>
          <w:p>
            <w:r>
              <w:t>SHIELDED</w:t>
            </w:r>
          </w:p>
        </w:tc>
      </w:tr>
      <w:tr>
        <w:tc>
          <w:tcPr>
            <w:tcW w:type="dxa" w:w="5083"/>
          </w:tcPr>
          <w:p>
            <w:r>
              <w:t>Last real settlement</w:t>
            </w:r>
          </w:p>
        </w:tc>
        <w:tc>
          <w:tcPr>
            <w:tcW w:type="dxa" w:w="5083"/>
          </w:tcPr>
          <w:p>
            <w:r>
              <w:t>VERIFIED / NONE</w:t>
            </w:r>
          </w:p>
        </w:tc>
      </w:tr>
      <w:tr>
        <w:tc>
          <w:tcPr>
            <w:tcW w:type="dxa" w:w="5083"/>
          </w:tcPr>
          <w:p>
            <w:r>
              <w:t>Reconciliation</w:t>
            </w:r>
          </w:p>
        </w:tc>
        <w:tc>
          <w:tcPr>
            <w:tcW w:type="dxa" w:w="5083"/>
          </w:tcPr>
          <w:p>
            <w:r>
              <w:t>VERIFIED / PENDING / UNAVAILABLE</w:t>
            </w:r>
          </w:p>
        </w:tc>
      </w:tr>
      <w:tr>
        <w:tc>
          <w:tcPr>
            <w:tcW w:type="dxa" w:w="5083"/>
          </w:tcPr>
          <w:p>
            <w:r>
              <w:t>Audit chain</w:t>
            </w:r>
          </w:p>
        </w:tc>
        <w:tc>
          <w:tcPr>
            <w:tcW w:type="dxa" w:w="5083"/>
          </w:tcPr>
          <w:p>
            <w:r>
              <w:t>VALID / INVALID</w:t>
            </w:r>
          </w:p>
        </w:tc>
      </w:tr>
      <w:tr>
        <w:tc>
          <w:tcPr>
            <w:tcW w:type="dxa" w:w="5083"/>
          </w:tcPr>
          <w:p>
            <w:r>
              <w:t>Server spend authority</w:t>
            </w:r>
          </w:p>
        </w:tc>
        <w:tc>
          <w:tcPr>
            <w:tcW w:type="dxa" w:w="5083"/>
          </w:tcPr>
          <w:p>
            <w:r>
              <w:t>NONE</w:t>
            </w:r>
          </w:p>
        </w:tc>
      </w:tr>
      <w:tr>
        <w:tc>
          <w:tcPr>
            <w:tcW w:type="dxa" w:w="5083"/>
          </w:tcPr>
          <w:p>
            <w:r>
              <w:t>AI spend authority</w:t>
            </w:r>
          </w:p>
        </w:tc>
        <w:tc>
          <w:tcPr>
            <w:tcW w:type="dxa" w:w="5083"/>
          </w:tcPr>
          <w:p>
            <w:r>
              <w:t>NONE</w:t>
            </w:r>
          </w:p>
        </w:tc>
      </w:tr>
      <w:tr>
        <w:tc>
          <w:tcPr>
            <w:tcW w:type="dxa" w:w="5083"/>
          </w:tcPr>
          <w:p>
            <w:r>
              <w:t>Viewing mode</w:t>
            </w:r>
          </w:p>
        </w:tc>
        <w:tc>
          <w:tcPr>
            <w:tcW w:type="dxa" w:w="5083"/>
          </w:tcPr>
          <w:p>
            <w:r>
              <w:t>READ-ONLY / NOT CONFIGURED</w:t>
            </w:r>
          </w:p>
        </w:tc>
      </w:tr>
      <w:tr>
        <w:tc>
          <w:tcPr>
            <w:tcW w:type="dxa" w:w="5083"/>
          </w:tcPr>
          <w:p>
            <w:r>
              <w:t>Build commit</w:t>
            </w:r>
          </w:p>
        </w:tc>
        <w:tc>
          <w:tcPr>
            <w:tcW w:type="dxa" w:w="5083"/>
          </w:tcPr>
          <w:p>
            <w:r>
              <w:t>actual commit</w:t>
            </w:r>
          </w:p>
        </w:tc>
      </w:tr>
      <w:tr>
        <w:tc>
          <w:tcPr>
            <w:tcW w:type="dxa" w:w="5083"/>
          </w:tcPr>
          <w:p>
            <w:r>
              <w:t>Demo mode</w:t>
            </w:r>
          </w:p>
        </w:tc>
        <w:tc>
          <w:tcPr>
            <w:tcW w:type="dxa" w:w="5083"/>
          </w:tcPr>
          <w:p>
            <w:r>
              <w:t>REAL / SEEDED DATA / SIMULATED clearly distinguished</w:t>
            </w:r>
          </w:p>
        </w:tc>
      </w:tr>
    </w:tbl>
    <w:p>
      <w:r>
        <w:t>Expandable proof details should expose payment-request data, settlement lifecycle, reconciliation evidence, audit-chain verification, privacy boundaries and build metadata without leaking sensitive secrets.</w:t>
      </w:r>
    </w:p>
    <w:p>
      <w:pPr>
        <w:pStyle w:val="Heading1"/>
      </w:pPr>
      <w:r>
        <w:t>22. Testing Requirements</w:t>
      </w:r>
    </w:p>
    <w:p>
      <w:pPr>
        <w:pStyle w:val="ListBullet"/>
      </w:pPr>
      <w:r>
        <w:t>Unit tests for all domain state transitions and money calculations.</w:t>
      </w:r>
    </w:p>
    <w:p>
      <w:pPr>
        <w:pStyle w:val="ListBullet"/>
      </w:pPr>
      <w:r>
        <w:t>Policy-engine table tests covering thresholds, new vendor, changed destination, duplicate and blocked conditions.</w:t>
      </w:r>
    </w:p>
    <w:p>
      <w:pPr>
        <w:pStyle w:val="ListBullet"/>
      </w:pPr>
      <w:r>
        <w:t>Approval invalidation tests.</w:t>
      </w:r>
    </w:p>
    <w:p>
      <w:pPr>
        <w:pStyle w:val="ListBullet"/>
      </w:pPr>
      <w:r>
        <w:t>Tenant-isolation tests.</w:t>
      </w:r>
    </w:p>
    <w:p>
      <w:pPr>
        <w:pStyle w:val="ListBullet"/>
      </w:pPr>
      <w:r>
        <w:t>AI schema/low-confidence/failure tests.</w:t>
      </w:r>
    </w:p>
    <w:p>
      <w:pPr>
        <w:pStyle w:val="ListBullet"/>
      </w:pPr>
      <w:r>
        <w:t>Zcash adapter contract tests and explicit unavailable-state tests.</w:t>
      </w:r>
    </w:p>
    <w:p>
      <w:pPr>
        <w:pStyle w:val="ListBullet"/>
      </w:pPr>
      <w:r>
        <w:t>Reconciliation tests for detected/confirming/settled, over/under/mismatch where relevant, reorg/failure semantics where supported.</w:t>
      </w:r>
    </w:p>
    <w:p>
      <w:pPr>
        <w:pStyle w:val="ListBullet"/>
      </w:pPr>
      <w:r>
        <w:t>Audit-chain integrity and tamper detection tests.</w:t>
      </w:r>
    </w:p>
    <w:p>
      <w:pPr>
        <w:pStyle w:val="ListBullet"/>
      </w:pPr>
      <w:r>
        <w:t>Evidence generation and verification tests.</w:t>
      </w:r>
    </w:p>
    <w:p>
      <w:pPr>
        <w:pStyle w:val="ListBullet"/>
      </w:pPr>
      <w:r>
        <w:t>Secret scanning.</w:t>
      </w:r>
    </w:p>
    <w:p>
      <w:pPr>
        <w:pStyle w:val="ListBullet"/>
      </w:pPr>
      <w:r>
        <w:t>Typecheck, lint, production build.</w:t>
      </w:r>
    </w:p>
    <w:p>
      <w:pPr>
        <w:pStyle w:val="ListBullet"/>
      </w:pPr>
      <w:r>
        <w:t>E2E happy path: create obligation → review → approvals → prepare settlement → real/approved signing path → broadcast → reconcile → evidence.</w:t>
      </w:r>
    </w:p>
    <w:p>
      <w:pPr>
        <w:pStyle w:val="ListBullet"/>
      </w:pPr>
      <w:r>
        <w:t>E2E negative paths: duplicate, changed destination, expired quote, missing approval, scanner unavailable.</w:t>
      </w:r>
    </w:p>
    <w:p>
      <w:pPr>
        <w:pStyle w:val="ListBullet"/>
      </w:pPr>
      <w:r>
        <w:t>Accessibility checks for core flows.</w:t>
      </w:r>
    </w:p>
    <w:p>
      <w:pPr>
        <w:pStyle w:val="ListBullet"/>
      </w:pPr>
      <w:r>
        <w:t>No test may assert a mocked chain success as production proof.</w:t>
      </w:r>
    </w:p>
    <w:p>
      <w:pPr>
        <w:pStyle w:val="Heading1"/>
      </w:pPr>
      <w:r>
        <w:t>23. Reference Repositories and Research Policy</w:t>
      </w:r>
    </w:p>
    <w:p>
      <w:r>
        <w:t>Study references to learn patterns; do not blindly transplant code. Record license and reason before copying any implementation.</w:t>
      </w:r>
    </w:p>
    <w:tbl>
      <w:tblPr>
        <w:tblStyle w:val="TableGrid"/>
        <w:tblW w:type="auto" w:w="0"/>
        <w:tblLook w:firstColumn="1" w:firstRow="1" w:lastColumn="0" w:lastRow="0" w:noHBand="0" w:noVBand="1" w:val="04A0"/>
      </w:tblPr>
      <w:tblGrid>
        <w:gridCol w:w="5083"/>
        <w:gridCol w:w="5083"/>
      </w:tblGrid>
      <w:tr>
        <w:tc>
          <w:tcPr>
            <w:tcW w:type="dxa" w:w="5083"/>
            <w:shd w:fill="E9EEF5"/>
          </w:tcPr>
          <w:p>
            <w:r>
              <w:rPr>
                <w:b/>
              </w:rPr>
              <w:t>Reference</w:t>
            </w:r>
          </w:p>
        </w:tc>
        <w:tc>
          <w:tcPr>
            <w:tcW w:type="dxa" w:w="5083"/>
            <w:shd w:fill="E9EEF5"/>
          </w:tcPr>
          <w:p>
            <w:r>
              <w:rPr>
                <w:b/>
              </w:rPr>
              <w:t>Use</w:t>
            </w:r>
          </w:p>
        </w:tc>
      </w:tr>
      <w:tr>
        <w:tc>
          <w:tcPr>
            <w:tcW w:type="dxa" w:w="5083"/>
          </w:tcPr>
          <w:p>
            <w:r>
              <w:t>Alike001/zecceipt</w:t>
            </w:r>
          </w:p>
        </w:tc>
        <w:tc>
          <w:tcPr>
            <w:tcW w:type="dxa" w:w="5083"/>
          </w:tcPr>
          <w:p>
            <w:r>
              <w:t>Prior team patterns: invoice state, integer zatoshis, network failure semantics, receipts, confirmation lifecycle.</w:t>
            </w:r>
          </w:p>
        </w:tc>
      </w:tr>
      <w:tr>
        <w:tc>
          <w:tcPr>
            <w:tcW w:type="dxa" w:w="5083"/>
          </w:tcPr>
          <w:p>
            <w:r>
              <w:t>Zcash ZIPs / protocol docs</w:t>
            </w:r>
          </w:p>
        </w:tc>
        <w:tc>
          <w:tcPr>
            <w:tcW w:type="dxa" w:w="5083"/>
          </w:tcPr>
          <w:p>
            <w:r>
              <w:t>Normative behavior for ZIP-321, viewing/signing concepts and current protocol semantics.</w:t>
            </w:r>
          </w:p>
        </w:tc>
      </w:tr>
      <w:tr>
        <w:tc>
          <w:tcPr>
            <w:tcW w:type="dxa" w:w="5083"/>
          </w:tcPr>
          <w:p>
            <w:r>
              <w:t>Zodl / Zallet / relevant SDK repos</w:t>
            </w:r>
          </w:p>
        </w:tc>
        <w:tc>
          <w:tcPr>
            <w:tcW w:type="dxa" w:w="5083"/>
          </w:tcPr>
          <w:p>
            <w:r>
              <w:t>Current wallet/viewing/sync interfaces and architecture.</w:t>
            </w:r>
          </w:p>
        </w:tc>
      </w:tr>
      <w:tr>
        <w:tc>
          <w:tcPr>
            <w:tcW w:type="dxa" w:w="5083"/>
          </w:tcPr>
          <w:p>
            <w:r>
              <w:t>Zcash Foundation FROST / PCZT references</w:t>
            </w:r>
          </w:p>
        </w:tc>
        <w:tc>
          <w:tcPr>
            <w:tcW w:type="dxa" w:w="5083"/>
          </w:tcPr>
          <w:p>
            <w:r>
              <w:t>Advanced signing architecture only when current and stable.</w:t>
            </w:r>
          </w:p>
        </w:tc>
      </w:tr>
      <w:tr>
        <w:tc>
          <w:tcPr>
            <w:tcW w:type="dxa" w:w="5083"/>
          </w:tcPr>
          <w:p>
            <w:r>
              <w:t>CipherPay</w:t>
            </w:r>
          </w:p>
        </w:tc>
        <w:tc>
          <w:tcPr>
            <w:tcW w:type="dxa" w:w="5083"/>
          </w:tcPr>
          <w:p>
            <w:r>
              <w:t>Prior art for diversified shielded merchant matching; do not recreate merchant processor.</w:t>
            </w:r>
          </w:p>
        </w:tc>
      </w:tr>
      <w:tr>
        <w:tc>
          <w:tcPr>
            <w:tcW w:type="dxa" w:w="5083"/>
          </w:tcPr>
          <w:p>
            <w:r>
              <w:t>Ramp/Brex/Request Finance</w:t>
            </w:r>
          </w:p>
        </w:tc>
        <w:tc>
          <w:tcPr>
            <w:tcW w:type="dxa" w:w="5083"/>
          </w:tcPr>
          <w:p>
            <w:r>
              <w:t>Workflow/UX/business references, not code dependencies.</w:t>
            </w:r>
          </w:p>
        </w:tc>
      </w:tr>
      <w:tr>
        <w:tc>
          <w:tcPr>
            <w:tcW w:type="dxa" w:w="5083"/>
          </w:tcPr>
          <w:p>
            <w:r>
              <w:t>Konclave and selected Zcash hackathon projects</w:t>
            </w:r>
          </w:p>
        </w:tc>
        <w:tc>
          <w:tcPr>
            <w:tcW w:type="dxa" w:w="5083"/>
          </w:tcPr>
          <w:p>
            <w:r>
              <w:t>Technical/documentation benchmark; avoid cloning their product thesis.</w:t>
            </w:r>
          </w:p>
        </w:tc>
      </w:tr>
    </w:tbl>
    <w:p>
      <w:r>
        <w:t>Known caution: inspect licenses before reuse. In particular, do not pull AGPL code into Obliq casually.</w:t>
      </w:r>
    </w:p>
    <w:p>
      <w:pPr>
        <w:pStyle w:val="Heading1"/>
      </w:pPr>
      <w:r>
        <w:t>24. Engineering Invariants</w:t>
      </w:r>
    </w:p>
    <w:p>
      <w:pPr>
        <w:pStyle w:val="ListNumber"/>
      </w:pPr>
      <w:r>
        <w:t>Server NEVER possesses treasury spending authority.</w:t>
      </w:r>
    </w:p>
    <w:p>
      <w:pPr>
        <w:pStyle w:val="ListNumber"/>
      </w:pPr>
      <w:r>
        <w:t>AI NEVER approves or executes money movement.</w:t>
      </w:r>
    </w:p>
    <w:p>
      <w:pPr>
        <w:pStyle w:val="ListNumber"/>
      </w:pPr>
      <w:r>
        <w:t>No settlement exists without an obligation.</w:t>
      </w:r>
    </w:p>
    <w:p>
      <w:pPr>
        <w:pStyle w:val="ListNumber"/>
      </w:pPr>
      <w:r>
        <w:t>No settlement becomes ready unless deterministic policy requirements pass.</w:t>
      </w:r>
    </w:p>
    <w:p>
      <w:pPr>
        <w:pStyle w:val="ListNumber"/>
      </w:pPr>
      <w:r>
        <w:t>APPROVED is not SETTLED.</w:t>
      </w:r>
    </w:p>
    <w:p>
      <w:pPr>
        <w:pStyle w:val="ListNumber"/>
      </w:pPr>
      <w:r>
        <w:t>BROADCAST is not SETTLED.</w:t>
      </w:r>
    </w:p>
    <w:p>
      <w:pPr>
        <w:pStyle w:val="ListNumber"/>
      </w:pPr>
      <w:r>
        <w:t>RPC/scanner failure is not UNPAID.</w:t>
      </w:r>
    </w:p>
    <w:p>
      <w:pPr>
        <w:pStyle w:val="ListNumber"/>
      </w:pPr>
      <w:r>
        <w:t>Viewing authority is sensitive secret material.</w:t>
      </w:r>
    </w:p>
    <w:p>
      <w:pPr>
        <w:pStyle w:val="ListNumber"/>
      </w:pPr>
      <w:r>
        <w:t>Never expose viewing authority client-side.</w:t>
      </w:r>
    </w:p>
    <w:p>
      <w:pPr>
        <w:pStyle w:val="ListNumber"/>
      </w:pPr>
      <w:r>
        <w:t>Never use floating point for money.</w:t>
      </w:r>
    </w:p>
    <w:p>
      <w:pPr>
        <w:pStyle w:val="ListNumber"/>
      </w:pPr>
      <w:r>
        <w:t>Every settlement reconciles to a business object.</w:t>
      </w:r>
    </w:p>
    <w:p>
      <w:pPr>
        <w:pStyle w:val="ListNumber"/>
      </w:pPr>
      <w:r>
        <w:t>Every privileged action emits an audit event.</w:t>
      </w:r>
    </w:p>
    <w:p>
      <w:pPr>
        <w:pStyle w:val="ListNumber"/>
      </w:pPr>
      <w:r>
        <w:t>Privacy claims correspond to implemented behavior.</w:t>
      </w:r>
    </w:p>
    <w:p>
      <w:pPr>
        <w:pStyle w:val="ListNumber"/>
      </w:pPr>
      <w:r>
        <w:t>Unsupported capabilities are labelled honestly.</w:t>
      </w:r>
    </w:p>
    <w:p>
      <w:pPr>
        <w:pStyle w:val="ListNumber"/>
      </w:pPr>
      <w:r>
        <w:t>No mocked blockchain success in production/demo proof paths.</w:t>
      </w:r>
    </w:p>
    <w:p>
      <w:pPr>
        <w:pStyle w:val="ListNumber"/>
      </w:pPr>
      <w:r>
        <w:t>Material obligation/destination changes invalidate relevant approvals.</w:t>
      </w:r>
    </w:p>
    <w:p>
      <w:pPr>
        <w:pStyle w:val="ListNumber"/>
      </w:pPr>
      <w:r>
        <w:t>Quote expiry requires re-quote before signing.</w:t>
      </w:r>
    </w:p>
    <w:p>
      <w:pPr>
        <w:pStyle w:val="ListNumber"/>
      </w:pPr>
      <w:r>
        <w:t>Tenant boundaries are enforced server-side, never only in UI.</w:t>
      </w:r>
    </w:p>
    <w:p>
      <w:pPr>
        <w:pStyle w:val="ListNumber"/>
      </w:pPr>
      <w:r>
        <w:t>Docs must describe current behavior, not aspirational behavior.</w:t>
      </w:r>
    </w:p>
    <w:p>
      <w:pPr>
        <w:pStyle w:val="ListNumber"/>
      </w:pPr>
      <w:r>
        <w:t>Do not optimize away security controls to shorten the demo.</w:t>
      </w:r>
    </w:p>
    <w:p>
      <w:pPr>
        <w:pStyle w:val="Heading1"/>
      </w:pPr>
      <w:r>
        <w:t>25. Forbidden Shortcuts</w:t>
      </w:r>
    </w:p>
    <w:p>
      <w:pPr>
        <w:pStyle w:val="ListBullet"/>
      </w:pPr>
      <w:r>
        <w:t>Hard-coded successful transaction states.</w:t>
      </w:r>
    </w:p>
    <w:p>
      <w:pPr>
        <w:pStyle w:val="ListBullet"/>
      </w:pPr>
      <w:r>
        <w:t>Fake wallet/signature animations presented as real.</w:t>
      </w:r>
    </w:p>
    <w:p>
      <w:pPr>
        <w:pStyle w:val="ListBullet"/>
      </w:pPr>
      <w:r>
        <w:t>Using transparent Zcash settlement while marketing the flow as shielded.</w:t>
      </w:r>
    </w:p>
    <w:p>
      <w:pPr>
        <w:pStyle w:val="ListBullet"/>
      </w:pPr>
      <w:r>
        <w:t>Putting sensitive invoice text in public URLs or plaintext chain metadata.</w:t>
      </w:r>
    </w:p>
    <w:p>
      <w:pPr>
        <w:pStyle w:val="ListBullet"/>
      </w:pPr>
      <w:r>
        <w:t>Storing seed phrases/private spend keys in environment variables or database.</w:t>
      </w:r>
    </w:p>
    <w:p>
      <w:pPr>
        <w:pStyle w:val="ListBullet"/>
      </w:pPr>
      <w:r>
        <w:t>Calling application evidence a zero-knowledge proof when it is not.</w:t>
      </w:r>
    </w:p>
    <w:p>
      <w:pPr>
        <w:pStyle w:val="ListBullet"/>
      </w:pPr>
      <w:r>
        <w:t>Claiming FROST/PCZT integration before it exists.</w:t>
      </w:r>
    </w:p>
    <w:p>
      <w:pPr>
        <w:pStyle w:val="ListBullet"/>
      </w:pPr>
      <w:r>
        <w:t>Using one global tenant ID or client-side-only authorization.</w:t>
      </w:r>
    </w:p>
    <w:p>
      <w:pPr>
        <w:pStyle w:val="ListBullet"/>
      </w:pPr>
      <w:r>
        <w:t>Silently treating third-party/RPC failures as business truth.</w:t>
      </w:r>
    </w:p>
    <w:p>
      <w:pPr>
        <w:pStyle w:val="ListBullet"/>
      </w:pPr>
      <w:r>
        <w:t>Adding unrelated AI/chat features for perceived hackathon novelty.</w:t>
      </w:r>
    </w:p>
    <w:p>
      <w:pPr>
        <w:pStyle w:val="ListBullet"/>
      </w:pPr>
      <w:r>
        <w:t>Building a wallet, explorer, merchant checkout or generic treasury instead of Obliq's obligation workflow.</w:t>
      </w:r>
    </w:p>
    <w:p>
      <w:pPr>
        <w:pStyle w:val="ListBullet"/>
      </w:pPr>
      <w:r>
        <w:t>Landing-page-only features that do not exist in the app.</w:t>
      </w:r>
    </w:p>
    <w:p>
      <w:pPr>
        <w:pStyle w:val="ListBullet"/>
      </w:pPr>
      <w:r>
        <w:t>Docs copied from plans after behavior changed.</w:t>
      </w:r>
    </w:p>
    <w:p>
      <w:pPr>
        <w:pStyle w:val="ListBullet"/>
      </w:pPr>
      <w:r>
        <w:t>Unlicensed code copying.</w:t>
      </w:r>
    </w:p>
    <w:p>
      <w:pPr>
        <w:pStyle w:val="Heading1"/>
      </w:pPr>
      <w:r>
        <w:t>26. Implementation Phases and Acceptance Gates</w:t>
      </w:r>
    </w:p>
    <w:p>
      <w:pPr>
        <w:pStyle w:val="Heading2"/>
      </w:pPr>
      <w:r>
        <w:t>Phase 0 — Foundation</w:t>
      </w:r>
    </w:p>
    <w:p>
      <w:pPr>
        <w:pStyle w:val="ListBullet"/>
      </w:pPr>
      <w:r>
        <w:t>Repository/monorepo and CI established.</w:t>
      </w:r>
    </w:p>
    <w:p>
      <w:pPr>
        <w:pStyle w:val="ListBullet"/>
      </w:pPr>
      <w:r>
        <w:t>Product constitution and architecture docs committed.</w:t>
      </w:r>
    </w:p>
    <w:p>
      <w:pPr>
        <w:pStyle w:val="ListBullet"/>
      </w:pPr>
      <w:r>
        <w:t>Design system and app shell implemented.</w:t>
      </w:r>
    </w:p>
    <w:p>
      <w:pPr>
        <w:pStyle w:val="ListBullet"/>
      </w:pPr>
      <w:r>
        <w:t>Landing and docs shells exist and are responsive.</w:t>
      </w:r>
    </w:p>
    <w:p>
      <w:pPr>
        <w:pStyle w:val="ListBullet"/>
      </w:pPr>
      <w:r>
        <w:t>PostgreSQL schema/migrations for core entities.</w:t>
      </w:r>
    </w:p>
    <w:p>
      <w:pPr>
        <w:pStyle w:val="ListBullet"/>
      </w:pPr>
      <w:r>
        <w:t>Organization/auth/tenant boundary established.</w:t>
      </w:r>
    </w:p>
    <w:p>
      <w:pPr>
        <w:pStyle w:val="ListBullet"/>
      </w:pPr>
      <w:r>
        <w:t>Threat model and ADRs exist.</w:t>
      </w:r>
    </w:p>
    <w:p>
      <w:pPr>
        <w:pStyle w:val="ListBullet"/>
      </w:pPr>
      <w:r>
        <w:t>No fake Zcash capability displayed.</w:t>
      </w:r>
    </w:p>
    <w:p>
      <w:r>
        <w:t>Agent gate: after completing this phase, STOP. Report files changed, tests, build status, live evidence, unresolved risks, and exact acceptance criteria. Do not begin the next phase until explicitly authorized.</w:t>
      </w:r>
    </w:p>
    <w:p>
      <w:pPr>
        <w:pStyle w:val="Heading2"/>
      </w:pPr>
      <w:r>
        <w:t>Phase 1 — Obligation Engine</w:t>
      </w:r>
    </w:p>
    <w:p>
      <w:pPr>
        <w:pStyle w:val="ListBullet"/>
      </w:pPr>
      <w:r>
        <w:t>Vendors and versioned destinations.</w:t>
      </w:r>
    </w:p>
    <w:p>
      <w:pPr>
        <w:pStyle w:val="ListBullet"/>
      </w:pPr>
      <w:r>
        <w:t>Manual obligation creation and invoice upload.</w:t>
      </w:r>
    </w:p>
    <w:p>
      <w:pPr>
        <w:pStyle w:val="ListBullet"/>
      </w:pPr>
      <w:r>
        <w:t>AI extraction behind schema + review.</w:t>
      </w:r>
    </w:p>
    <w:p>
      <w:pPr>
        <w:pStyle w:val="ListBullet"/>
      </w:pPr>
      <w:r>
        <w:t>Obligation state machine enforced server-side.</w:t>
      </w:r>
    </w:p>
    <w:p>
      <w:pPr>
        <w:pStyle w:val="ListBullet"/>
      </w:pPr>
      <w:r>
        <w:t>Duplicate detection baseline.</w:t>
      </w:r>
    </w:p>
    <w:p>
      <w:pPr>
        <w:pStyle w:val="ListBullet"/>
      </w:pPr>
      <w:r>
        <w:t>Audit events generated.</w:t>
      </w:r>
    </w:p>
    <w:p>
      <w:pPr>
        <w:pStyle w:val="ListBullet"/>
      </w:pPr>
      <w:r>
        <w:t>Dashboard and obligation screens usable.</w:t>
      </w:r>
    </w:p>
    <w:p>
      <w:pPr>
        <w:pStyle w:val="ListBullet"/>
      </w:pPr>
      <w:r>
        <w:t>Docs updated.</w:t>
      </w:r>
    </w:p>
    <w:p>
      <w:pPr>
        <w:pStyle w:val="ListBullet"/>
      </w:pPr>
      <w:r>
        <w:t>Tests/build green.</w:t>
      </w:r>
    </w:p>
    <w:p>
      <w:r>
        <w:t>Agent gate: after completing this phase, STOP. Report files changed, tests, build status, live evidence, unresolved risks, and exact acceptance criteria. Do not begin the next phase until explicitly authorized.</w:t>
      </w:r>
    </w:p>
    <w:p>
      <w:pPr>
        <w:pStyle w:val="Heading2"/>
      </w:pPr>
      <w:r>
        <w:t>Phase 2 — Control Engine</w:t>
      </w:r>
    </w:p>
    <w:p>
      <w:pPr>
        <w:pStyle w:val="ListBullet"/>
      </w:pPr>
      <w:r>
        <w:t>Policies and deterministic evaluations.</w:t>
      </w:r>
    </w:p>
    <w:p>
      <w:pPr>
        <w:pStyle w:val="ListBullet"/>
      </w:pPr>
      <w:r>
        <w:t>Approval requirements and approvals.</w:t>
      </w:r>
    </w:p>
    <w:p>
      <w:pPr>
        <w:pStyle w:val="ListBullet"/>
      </w:pPr>
      <w:r>
        <w:t>Destination-change blocking/reverification.</w:t>
      </w:r>
    </w:p>
    <w:p>
      <w:pPr>
        <w:pStyle w:val="ListBullet"/>
      </w:pPr>
      <w:r>
        <w:t>Approval invalidation.</w:t>
      </w:r>
    </w:p>
    <w:p>
      <w:pPr>
        <w:pStyle w:val="ListBullet"/>
      </w:pPr>
      <w:r>
        <w:t>Settlement readiness gate impossible to bypass.</w:t>
      </w:r>
    </w:p>
    <w:p>
      <w:pPr>
        <w:pStyle w:val="ListBullet"/>
      </w:pPr>
      <w:r>
        <w:t>Role enforcement.</w:t>
      </w:r>
    </w:p>
    <w:p>
      <w:pPr>
        <w:pStyle w:val="ListBullet"/>
      </w:pPr>
      <w:r>
        <w:t>Docs/tests updated.</w:t>
      </w:r>
    </w:p>
    <w:p>
      <w:r>
        <w:t>Agent gate: after completing this phase, STOP. Report files changed, tests, build status, live evidence, unresolved risks, and exact acceptance criteria. Do not begin the next phase until explicitly authorized.</w:t>
      </w:r>
    </w:p>
    <w:p>
      <w:pPr>
        <w:pStyle w:val="Heading2"/>
      </w:pPr>
      <w:r>
        <w:t>Phase 3 — Zcash Read Path</w:t>
      </w:r>
    </w:p>
    <w:p>
      <w:pPr>
        <w:pStyle w:val="ListBullet"/>
      </w:pPr>
      <w:r>
        <w:t>Selected current Zcash stack documented and implemented.</w:t>
      </w:r>
    </w:p>
    <w:p>
      <w:pPr>
        <w:pStyle w:val="ListBullet"/>
      </w:pPr>
      <w:r>
        <w:t>Read-only viewing/scanning configuration protected server-side.</w:t>
      </w:r>
    </w:p>
    <w:p>
      <w:pPr>
        <w:pStyle w:val="ListBullet"/>
      </w:pPr>
      <w:r>
        <w:t>Real shielded observation demonstrated on supported network.</w:t>
      </w:r>
    </w:p>
    <w:p>
      <w:pPr>
        <w:pStyle w:val="ListBullet"/>
      </w:pPr>
      <w:r>
        <w:t>Obligation correlation/reconciliation works.</w:t>
      </w:r>
    </w:p>
    <w:p>
      <w:pPr>
        <w:pStyle w:val="ListBullet"/>
      </w:pPr>
      <w:r>
        <w:t>Confirmations and unavailable/failure states correct.</w:t>
      </w:r>
    </w:p>
    <w:p>
      <w:pPr>
        <w:pStyle w:val="ListBullet"/>
      </w:pPr>
      <w:r>
        <w:t>No spend authority on backend.</w:t>
      </w:r>
    </w:p>
    <w:p>
      <w:pPr>
        <w:pStyle w:val="ListBullet"/>
      </w:pPr>
      <w:r>
        <w:t>/proof begins showing real network/reconciliation evidence.</w:t>
      </w:r>
    </w:p>
    <w:p>
      <w:pPr>
        <w:pStyle w:val="ListBullet"/>
      </w:pPr>
      <w:r>
        <w:t>Gate: STOP if real shielded observation cannot be demonstrated.</w:t>
      </w:r>
    </w:p>
    <w:p>
      <w:r>
        <w:t>Agent gate: after completing this phase, STOP. Report files changed, tests, build status, live evidence, unresolved risks, and exact acceptance criteria. Do not begin the next phase until explicitly authorized.</w:t>
      </w:r>
    </w:p>
    <w:p>
      <w:pPr>
        <w:pStyle w:val="Heading2"/>
      </w:pPr>
      <w:r>
        <w:t>Phase 4 — Zcash Write Path</w:t>
      </w:r>
    </w:p>
    <w:p>
      <w:pPr>
        <w:pStyle w:val="ListBullet"/>
      </w:pPr>
      <w:r>
        <w:t>Exact quote snapshot/expiry.</w:t>
      </w:r>
    </w:p>
    <w:p>
      <w:pPr>
        <w:pStyle w:val="ListBullet"/>
      </w:pPr>
      <w:r>
        <w:t>Payment request / settlement intent generated.</w:t>
      </w:r>
    </w:p>
    <w:p>
      <w:pPr>
        <w:pStyle w:val="ListBullet"/>
      </w:pPr>
      <w:r>
        <w:t>Signing handoff is non-custodial.</w:t>
      </w:r>
    </w:p>
    <w:p>
      <w:pPr>
        <w:pStyle w:val="ListBullet"/>
      </w:pPr>
      <w:r>
        <w:t>Real shielded transaction broadcast through supported signer path.</w:t>
      </w:r>
    </w:p>
    <w:p>
      <w:pPr>
        <w:pStyle w:val="ListBullet"/>
      </w:pPr>
      <w:r>
        <w:t>State progresses BROADCAST→DETECTED→CONFIRMING→SETTLED based on evidence.</w:t>
      </w:r>
    </w:p>
    <w:p>
      <w:pPr>
        <w:pStyle w:val="ListBullet"/>
      </w:pPr>
      <w:r>
        <w:t>No fake PCZT/FROST.</w:t>
      </w:r>
    </w:p>
    <w:p>
      <w:pPr>
        <w:pStyle w:val="ListBullet"/>
      </w:pPr>
      <w:r>
        <w:t>Gate: STOP if end-to-end real shielded settlement cannot be proven.</w:t>
      </w:r>
    </w:p>
    <w:p>
      <w:r>
        <w:t>Agent gate: after completing this phase, STOP. Report files changed, tests, build status, live evidence, unresolved risks, and exact acceptance criteria. Do not begin the next phase until explicitly authorized.</w:t>
      </w:r>
    </w:p>
    <w:p>
      <w:pPr>
        <w:pStyle w:val="Heading2"/>
      </w:pPr>
      <w:r>
        <w:t>Phase 5 — Evidence</w:t>
      </w:r>
    </w:p>
    <w:p>
      <w:pPr>
        <w:pStyle w:val="ListBullet"/>
      </w:pPr>
      <w:r>
        <w:t>Canonical settlement record.</w:t>
      </w:r>
    </w:p>
    <w:p>
      <w:pPr>
        <w:pStyle w:val="ListBullet"/>
      </w:pPr>
      <w:r>
        <w:t>Downloadable receipt/evidence artifact.</w:t>
      </w:r>
    </w:p>
    <w:p>
      <w:pPr>
        <w:pStyle w:val="ListBullet"/>
      </w:pPr>
      <w:r>
        <w:t>Controlled disclosed fields.</w:t>
      </w:r>
    </w:p>
    <w:p>
      <w:pPr>
        <w:pStyle w:val="ListBullet"/>
      </w:pPr>
      <w:r>
        <w:t>Verification route.</w:t>
      </w:r>
    </w:p>
    <w:p>
      <w:pPr>
        <w:pStyle w:val="ListBullet"/>
      </w:pPr>
      <w:r>
        <w:t>Audit-chain validation.</w:t>
      </w:r>
    </w:p>
    <w:p>
      <w:pPr>
        <w:pStyle w:val="ListBullet"/>
      </w:pPr>
      <w:r>
        <w:t>CSV export; PDF if stable.</w:t>
      </w:r>
    </w:p>
    <w:p>
      <w:pPr>
        <w:pStyle w:val="ListBullet"/>
      </w:pPr>
      <w:r>
        <w:t>Evidence language accurately distinguishes app evidence from cryptographic proofs.</w:t>
      </w:r>
    </w:p>
    <w:p>
      <w:pPr>
        <w:pStyle w:val="ListBullet"/>
      </w:pPr>
      <w:r>
        <w:t>Docs/tests updated.</w:t>
      </w:r>
    </w:p>
    <w:p>
      <w:r>
        <w:t>Agent gate: after completing this phase, STOP. Report files changed, tests, build status, live evidence, unresolved risks, and exact acceptance criteria. Do not begin the next phase until explicitly authorized.</w:t>
      </w:r>
    </w:p>
    <w:p>
      <w:pPr>
        <w:pStyle w:val="Heading2"/>
      </w:pPr>
      <w:r>
        <w:t>Phase 6 — Hardening</w:t>
      </w:r>
    </w:p>
    <w:p>
      <w:pPr>
        <w:pStyle w:val="ListBullet"/>
      </w:pPr>
      <w:r>
        <w:t>RBAC/tenant isolation reviewed.</w:t>
      </w:r>
    </w:p>
    <w:p>
      <w:pPr>
        <w:pStyle w:val="ListBullet"/>
      </w:pPr>
      <w:r>
        <w:t>Rate limiting/security headers/input validation.</w:t>
      </w:r>
    </w:p>
    <w:p>
      <w:pPr>
        <w:pStyle w:val="ListBullet"/>
      </w:pPr>
      <w:r>
        <w:t>Secret handling reviewed.</w:t>
      </w:r>
    </w:p>
    <w:p>
      <w:pPr>
        <w:pStyle w:val="ListBullet"/>
      </w:pPr>
      <w:r>
        <w:t>Failure/retry/empty/loading states polished.</w:t>
      </w:r>
    </w:p>
    <w:p>
      <w:pPr>
        <w:pStyle w:val="ListBullet"/>
      </w:pPr>
      <w:r>
        <w:t>Responsive/mobile/accessibility pass.</w:t>
      </w:r>
    </w:p>
    <w:p>
      <w:pPr>
        <w:pStyle w:val="ListBullet"/>
      </w:pPr>
      <w:r>
        <w:t>Performance and production build.</w:t>
      </w:r>
    </w:p>
    <w:p>
      <w:pPr>
        <w:pStyle w:val="ListBullet"/>
      </w:pPr>
      <w:r>
        <w:t>Threat model reconciled with actual implementation.</w:t>
      </w:r>
    </w:p>
    <w:p>
      <w:pPr>
        <w:pStyle w:val="ListBullet"/>
      </w:pPr>
      <w:r>
        <w:t>Security/privacy tests green.</w:t>
      </w:r>
    </w:p>
    <w:p>
      <w:r>
        <w:t>Agent gate: after completing this phase, STOP. Report files changed, tests, build status, live evidence, unresolved risks, and exact acceptance criteria. Do not begin the next phase until explicitly authorized.</w:t>
      </w:r>
    </w:p>
    <w:p>
      <w:pPr>
        <w:pStyle w:val="Heading2"/>
      </w:pPr>
      <w:r>
        <w:t>Phase 7 — Competition / Launch Hardening</w:t>
      </w:r>
    </w:p>
    <w:p>
      <w:pPr>
        <w:pStyle w:val="ListBullet"/>
      </w:pPr>
      <w:r>
        <w:t>Landing page competition-grade and 30-second test passed.</w:t>
      </w:r>
    </w:p>
    <w:p>
      <w:pPr>
        <w:pStyle w:val="ListBullet"/>
      </w:pPr>
      <w:r>
        <w:t>Docs complete/presentable.</w:t>
      </w:r>
    </w:p>
    <w:p>
      <w:pPr>
        <w:pStyle w:val="ListBullet"/>
      </w:pPr>
      <w:r>
        <w:t>/security complete.</w:t>
      </w:r>
    </w:p>
    <w:p>
      <w:pPr>
        <w:pStyle w:val="ListBullet"/>
      </w:pPr>
      <w:r>
        <w:t>/proof contains only live/verifiable claims.</w:t>
      </w:r>
    </w:p>
    <w:p>
      <w:pPr>
        <w:pStyle w:val="ListBullet"/>
      </w:pPr>
      <w:r>
        <w:t>Demo organization seeded through real product paths.</w:t>
      </w:r>
    </w:p>
    <w:p>
      <w:pPr>
        <w:pStyle w:val="ListBullet"/>
      </w:pPr>
      <w:r>
        <w:t>Guided judge path available without changing core behavior.</w:t>
      </w:r>
    </w:p>
    <w:p>
      <w:pPr>
        <w:pStyle w:val="ListBullet"/>
      </w:pPr>
      <w:r>
        <w:t>README, architecture diagrams, screenshots and known limitations complete.</w:t>
      </w:r>
    </w:p>
    <w:p>
      <w:pPr>
        <w:pStyle w:val="ListBullet"/>
      </w:pPr>
      <w:r>
        <w:t>Demo video narrative rehearsed.</w:t>
      </w:r>
    </w:p>
    <w:p>
      <w:pPr>
        <w:pStyle w:val="ListBullet"/>
      </w:pPr>
      <w:r>
        <w:t>Submission links verified.</w:t>
      </w:r>
    </w:p>
    <w:p>
      <w:pPr>
        <w:pStyle w:val="ListBullet"/>
      </w:pPr>
      <w:r>
        <w:t>Final test/build/security/secret-scan green.</w:t>
      </w:r>
    </w:p>
    <w:p>
      <w:r>
        <w:t>Agent gate: after completing this phase, STOP. Report files changed, tests, build status, live evidence, unresolved risks, and exact acceptance criteria. Do not begin the next phase until explicitly authorized.</w:t>
      </w:r>
    </w:p>
    <w:p>
      <w:pPr>
        <w:pStyle w:val="Heading1"/>
      </w:pPr>
      <w:r>
        <w:t>27. Demo Narrative</w:t>
      </w:r>
    </w:p>
    <w:p>
      <w:pPr>
        <w:pStyle w:val="ListNumber"/>
      </w:pPr>
      <w:r>
        <w:t>Show a vendor invoice entering Obliq.</w:t>
      </w:r>
    </w:p>
    <w:p>
      <w:pPr>
        <w:pStyle w:val="ListNumber"/>
      </w:pPr>
      <w:r>
        <w:t>AI extracts vendor, reference, amount and due date; finance reviews it.</w:t>
      </w:r>
    </w:p>
    <w:p>
      <w:pPr>
        <w:pStyle w:val="ListNumber"/>
      </w:pPr>
      <w:r>
        <w:t>Deterministic controls show known vendor, no duplicate, verified destination and required approvals.</w:t>
      </w:r>
    </w:p>
    <w:p>
      <w:pPr>
        <w:pStyle w:val="ListNumber"/>
      </w:pPr>
      <w:r>
        <w:t>Required humans approve.</w:t>
      </w:r>
    </w:p>
    <w:p>
      <w:pPr>
        <w:pStyle w:val="ListNumber"/>
      </w:pPr>
      <w:r>
        <w:t>Obliq shows exact private settlement review and expiring ZEC quote.</w:t>
      </w:r>
    </w:p>
    <w:p>
      <w:pPr>
        <w:pStyle w:val="ListNumber"/>
      </w:pPr>
      <w:r>
        <w:t>Authorized signer completes the real non-custodial signing path.</w:t>
      </w:r>
    </w:p>
    <w:p>
      <w:pPr>
        <w:pStyle w:val="ListNumber"/>
      </w:pPr>
      <w:r>
        <w:t>Real shielded Zcash settlement is broadcast.</w:t>
      </w:r>
    </w:p>
    <w:p>
      <w:pPr>
        <w:pStyle w:val="ListNumber"/>
      </w:pPr>
      <w:r>
        <w:t>Read-only reconciliation detects/confirms it and marks the obligation settled.</w:t>
      </w:r>
    </w:p>
    <w:p>
      <w:pPr>
        <w:pStyle w:val="ListNumber"/>
      </w:pPr>
      <w:r>
        <w:t>Generate a downloadable evidence/receipt package.</w:t>
      </w:r>
    </w:p>
    <w:p>
      <w:pPr>
        <w:pStyle w:val="ListNumber"/>
      </w:pPr>
      <w:r>
        <w:t>Show /proof and explain that public observers do not receive the business context that Obliq retains privately.</w:t>
      </w:r>
    </w:p>
    <w:p>
      <w:pPr>
        <w:pStyle w:val="Heading1"/>
      </w:pPr>
      <w:r>
        <w:t>28. 30-Second Judge Test</w:t>
      </w:r>
    </w:p>
    <w:p>
      <w:r>
        <w:t>A stranger must be able to answer all four questions after 30 seconds on the landing page:</w:t>
      </w:r>
    </w:p>
    <w:p>
      <w:pPr>
        <w:pStyle w:val="ListNumber"/>
      </w:pPr>
      <w:r>
        <w:t>Who is it for? Crypto-native organizations/finance teams.</w:t>
      </w:r>
    </w:p>
    <w:p>
      <w:pPr>
        <w:pStyle w:val="ListNumber"/>
      </w:pPr>
      <w:r>
        <w:t>What problem? Paying on transparent chains can expose business financial relationships while finance workflows are fragmented.</w:t>
      </w:r>
    </w:p>
    <w:p>
      <w:pPr>
        <w:pStyle w:val="ListNumber"/>
      </w:pPr>
      <w:r>
        <w:t>What does Obliq do? Manages bills/obligations, approvals, private settlement and reconciliation.</w:t>
      </w:r>
    </w:p>
    <w:p>
      <w:pPr>
        <w:pStyle w:val="ListNumber"/>
      </w:pPr>
      <w:r>
        <w:t>Why Zcash? Shielded settlement provides the privacy layer for the financial relationship.</w:t>
      </w:r>
    </w:p>
    <w:p>
      <w:r>
        <w:t>If a judge needs Orchard/FROST/viewing-key knowledge to understand the product, the landing page has failed.</w:t>
      </w:r>
    </w:p>
    <w:p>
      <w:pPr>
        <w:pStyle w:val="Heading1"/>
      </w:pPr>
      <w:r>
        <w:t>29. Zcash Removal Test</w:t>
      </w:r>
    </w:p>
    <w:p>
      <w:r>
        <w:t>Remove Zcash from the product. The obligation-management UI may remain, but the central promise of protocol-native private settlement materially fails. Therefore Zcash must be exercised in the real critical path and demonstrated in proof evidence.</w:t>
      </w:r>
    </w:p>
    <w:p>
      <w:pPr>
        <w:pStyle w:val="Heading1"/>
      </w:pPr>
      <w:r>
        <w:t>30. Business Model and Expansion</w:t>
      </w:r>
    </w:p>
    <w:p>
      <w:r>
        <w:t>Initial business model hypothesis: SaaS priced per organization/finance operation tier, with future paid advanced controls, accounting integrations, evidence/compliance workflows and enterprise support. Do not depend on transaction-fee extraction for the initial thesis.</w:t>
      </w:r>
    </w:p>
    <w:p>
      <w:r>
        <w:t>Expansion: vendor AP → contractors → grants/reimbursements → recurring obligations/payroll modules → B2B receivables → accounting/ERP integrations → broader private financial operations.</w:t>
      </w:r>
    </w:p>
    <w:p>
      <w:pPr>
        <w:pStyle w:val="Heading1"/>
      </w:pPr>
      <w:r>
        <w:t>31. Known Risks</w:t>
      </w:r>
    </w:p>
    <w:p>
      <w:pPr>
        <w:pStyle w:val="ListBullet"/>
      </w:pPr>
      <w:r>
        <w:t>Wallet/signing UX may be the hardest competition-critical integration.</w:t>
      </w:r>
    </w:p>
    <w:p>
      <w:pPr>
        <w:pStyle w:val="ListBullet"/>
      </w:pPr>
      <w:r>
        <w:t>ZEC volatility requires short-lived quotes and should not be hidden.</w:t>
      </w:r>
    </w:p>
    <w:p>
      <w:pPr>
        <w:pStyle w:val="ListBullet"/>
      </w:pPr>
      <w:r>
        <w:t>Viewing capability is privacy-sensitive and must be operationally protected.</w:t>
      </w:r>
    </w:p>
    <w:p>
      <w:pPr>
        <w:pStyle w:val="ListBullet"/>
      </w:pPr>
      <w:r>
        <w:t>Fine-grained cryptographic selective disclosure is not assumed solved.</w:t>
      </w:r>
    </w:p>
    <w:p>
      <w:pPr>
        <w:pStyle w:val="ListBullet"/>
      </w:pPr>
      <w:r>
        <w:t>Mainstream non-crypto SME demand is not validated; first market remains crypto-native.</w:t>
      </w:r>
    </w:p>
    <w:p>
      <w:pPr>
        <w:pStyle w:val="ListBullet"/>
      </w:pPr>
      <w:r>
        <w:t>Existing competitors validate the workflow but force Obliq to maintain sharp self-custody/privacy/evidence differentiation.</w:t>
      </w:r>
    </w:p>
    <w:p>
      <w:pPr>
        <w:pStyle w:val="ListBullet"/>
      </w:pPr>
      <w:r>
        <w:t>Any dependency on experimental Zcash tooling must have a fallback or be removed from the critical path.</w:t>
      </w:r>
    </w:p>
    <w:p>
      <w:pPr>
        <w:pStyle w:val="Heading1"/>
      </w:pPr>
      <w:r>
        <w:t>32. Post-Hackathon Roadmap</w:t>
      </w:r>
    </w:p>
    <w:p>
      <w:pPr>
        <w:pStyle w:val="ListBullet"/>
      </w:pPr>
      <w:r>
        <w:t>Customer interviews with crypto finance leads/CFOs.</w:t>
      </w:r>
    </w:p>
    <w:p>
      <w:pPr>
        <w:pStyle w:val="ListBullet"/>
      </w:pPr>
      <w:r>
        <w:t>Production wallet/signing integrations and stronger organizational signing.</w:t>
      </w:r>
    </w:p>
    <w:p>
      <w:pPr>
        <w:pStyle w:val="ListBullet"/>
      </w:pPr>
      <w:r>
        <w:t>PCZT/FROST where mature and justified.</w:t>
      </w:r>
    </w:p>
    <w:p>
      <w:pPr>
        <w:pStyle w:val="ListBullet"/>
      </w:pPr>
      <w:r>
        <w:t>Accounting integrations (Xero/QuickBooks/ERP).</w:t>
      </w:r>
    </w:p>
    <w:p>
      <w:pPr>
        <w:pStyle w:val="ListBullet"/>
      </w:pPr>
      <w:r>
        <w:t>Email invoice ingestion.</w:t>
      </w:r>
    </w:p>
    <w:p>
      <w:pPr>
        <w:pStyle w:val="ListBullet"/>
      </w:pPr>
      <w:r>
        <w:t>Cross-asset settlement/conversion integrations after verification.</w:t>
      </w:r>
    </w:p>
    <w:p>
      <w:pPr>
        <w:pStyle w:val="ListBullet"/>
      </w:pPr>
      <w:r>
        <w:t>Stronger cryptographic disclosure/evidence mechanisms as ecosystem capabilities mature.</w:t>
      </w:r>
    </w:p>
    <w:p>
      <w:pPr>
        <w:pStyle w:val="ListBullet"/>
      </w:pPr>
      <w:r>
        <w:t>Enterprise identity/SSO and granular finance roles.</w:t>
      </w:r>
    </w:p>
    <w:p>
      <w:pPr>
        <w:pStyle w:val="ListBullet"/>
      </w:pPr>
      <w:r>
        <w:t>API/webhooks for finance systems.</w:t>
      </w:r>
    </w:p>
    <w:p>
      <w:pPr>
        <w:pStyle w:val="Heading1"/>
      </w:pPr>
      <w:r>
        <w:t>33. Codex Operating Instructions</w:t>
      </w:r>
    </w:p>
    <w:p>
      <w:pPr>
        <w:pStyle w:val="ListBullet"/>
      </w:pPr>
      <w:r>
        <w:t>Read this document before modifying the repository.</w:t>
      </w:r>
    </w:p>
    <w:p>
      <w:pPr>
        <w:pStyle w:val="ListBullet"/>
      </w:pPr>
      <w:r>
        <w:t>Treat explicit product/security constraints here as authoritative.</w:t>
      </w:r>
    </w:p>
    <w:p>
      <w:pPr>
        <w:pStyle w:val="ListBullet"/>
      </w:pPr>
      <w:r>
        <w:t>Do not silently reinterpret scope.</w:t>
      </w:r>
    </w:p>
    <w:p>
      <w:pPr>
        <w:pStyle w:val="ListBullet"/>
      </w:pPr>
      <w:r>
        <w:t>Prefer minimal, auditable dependencies.</w:t>
      </w:r>
    </w:p>
    <w:p>
      <w:pPr>
        <w:pStyle w:val="ListBullet"/>
      </w:pPr>
      <w:r>
        <w:t>Before each phase, inspect current repository state and relevant current technical references.</w:t>
      </w:r>
    </w:p>
    <w:p>
      <w:pPr>
        <w:pStyle w:val="ListBullet"/>
      </w:pPr>
      <w:r>
        <w:t>Commit coherent completed work; keep worktree clean at phase gate.</w:t>
      </w:r>
    </w:p>
    <w:p>
      <w:pPr>
        <w:pStyle w:val="ListBullet"/>
      </w:pPr>
      <w:r>
        <w:t>Never advance phases automatically.</w:t>
      </w:r>
    </w:p>
    <w:p>
      <w:pPr>
        <w:pStyle w:val="ListBullet"/>
      </w:pPr>
      <w:r>
        <w:t>When uncertain about Zcash semantics, stop and verify authoritative documentation rather than guessing.</w:t>
      </w:r>
    </w:p>
    <w:p>
      <w:pPr>
        <w:pStyle w:val="ListBullet"/>
      </w:pPr>
      <w:r>
        <w:t>Keep a decision log for material architecture changes.</w:t>
      </w:r>
    </w:p>
    <w:p>
      <w:pPr>
        <w:pStyle w:val="ListBullet"/>
      </w:pPr>
      <w:r>
        <w:t>Update docs in the same phase as behavior changes.</w:t>
      </w:r>
    </w:p>
    <w:p>
      <w:pPr>
        <w:pStyle w:val="ListBullet"/>
      </w:pPr>
      <w:r>
        <w:t>Report limitations plainly.</w:t>
      </w:r>
    </w:p>
    <w:p>
      <w:pPr>
        <w:pStyle w:val="Heading1"/>
      </w:pPr>
      <w:r>
        <w:t>34. Definition of Done</w:t>
      </w:r>
    </w:p>
    <w:p>
      <w:r>
        <w:t>Obliq is competition-ready only when a first-time visitor understands it in 30 seconds, the core finance workflow is a real persisted product, a real shielded Zcash settlement is part of the demonstrated critical path, the backend has no treasury spending authority, reconciliation is evidence-driven, docs/security/proof surfaces are polished, and every public claim is backed by implemented behavior.</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