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141D6" w14:textId="1D8EFC9E" w:rsidR="00981226" w:rsidRPr="00137557" w:rsidRDefault="00981226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 xml:space="preserve">Разработка виртуально тренажера для обучения управлению процессом получения твердых сплавов актуальна так как внедрение подобных систем обеспечивает </w:t>
      </w:r>
      <w:r w:rsidRPr="00137557">
        <w:rPr>
          <w:rFonts w:ascii="Times New Roman" w:hAnsi="Times New Roman" w:cs="Times New Roman"/>
          <w:sz w:val="28"/>
          <w:szCs w:val="28"/>
        </w:rPr>
        <w:t>безопасность, эффективность и ускоренное развитие профессиональных навыков персонала в данной области</w:t>
      </w:r>
    </w:p>
    <w:p w14:paraId="078530C1" w14:textId="5F226B0A" w:rsidR="00CD59B4" w:rsidRPr="00137557" w:rsidRDefault="00CD59B4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Спекание сложный процесс ( схематично он показан на анимации справа), который происходит при высоких температурах. Чтобы оценить качество полученного сплава существуют требования, предъявляемые к качеству твердого сплава. Пример таких требований представлен в таблице.</w:t>
      </w:r>
    </w:p>
    <w:p w14:paraId="3E942E46" w14:textId="2622C92D" w:rsidR="00CD59B4" w:rsidRPr="00137557" w:rsidRDefault="00CD59B4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Для создания базы данных характеристик процесса спекания разработана интеллект-карта модели управления спеканием. Основой является модель управления процессом получения твёрдых сплавов</w:t>
      </w:r>
      <w:r w:rsidR="0009165F" w:rsidRPr="00137557">
        <w:rPr>
          <w:rFonts w:ascii="Times New Roman" w:hAnsi="Times New Roman" w:cs="Times New Roman"/>
          <w:sz w:val="28"/>
          <w:szCs w:val="28"/>
        </w:rPr>
        <w:t>, связанная с параметрами теоретической модели и коэффициентами эмпирической модели, а также сырьем и оборудованием.</w:t>
      </w:r>
    </w:p>
    <w:p w14:paraId="2F340C51" w14:textId="77777777" w:rsidR="0009165F" w:rsidRPr="00137557" w:rsidRDefault="0009165F" w:rsidP="00137557">
      <w:pPr>
        <w:pStyle w:val="a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809DE" w14:textId="59C56169" w:rsidR="0009165F" w:rsidRPr="00137557" w:rsidRDefault="0009165F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Цель:</w:t>
      </w:r>
      <w:r w:rsidRPr="0013755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7557">
        <w:rPr>
          <w:rFonts w:ascii="Times New Roman" w:hAnsi="Times New Roman" w:cs="Times New Roman"/>
          <w:sz w:val="28"/>
          <w:szCs w:val="28"/>
        </w:rPr>
        <w:t>повышение эффективности практико-ориентированного обучения управлению процессом получения твердых сплавов за счет разработки информационного обеспечения виртуального тренажера</w:t>
      </w:r>
    </w:p>
    <w:p w14:paraId="75ACCD7A" w14:textId="0D165438" w:rsidR="0009165F" w:rsidRPr="00137557" w:rsidRDefault="0009165F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 xml:space="preserve">Обзор тренажеров для обучения персонала </w:t>
      </w:r>
      <w:proofErr w:type="spellStart"/>
      <w:r w:rsidRPr="00137557">
        <w:rPr>
          <w:rFonts w:ascii="Times New Roman" w:hAnsi="Times New Roman" w:cs="Times New Roman"/>
          <w:sz w:val="28"/>
          <w:szCs w:val="28"/>
        </w:rPr>
        <w:t>хим-техн</w:t>
      </w:r>
      <w:proofErr w:type="spellEnd"/>
      <w:r w:rsidRPr="00137557">
        <w:rPr>
          <w:rFonts w:ascii="Times New Roman" w:hAnsi="Times New Roman" w:cs="Times New Roman"/>
          <w:sz w:val="28"/>
          <w:szCs w:val="28"/>
        </w:rPr>
        <w:t xml:space="preserve"> процессам показал отсутствие на рынке систем для обучения операторов вакуумно-компрессионных печей.</w:t>
      </w:r>
    </w:p>
    <w:p w14:paraId="0939E5C0" w14:textId="73F6A0B8" w:rsidR="0009165F" w:rsidRPr="00137557" w:rsidRDefault="0009165F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 xml:space="preserve">Спекание твердых сплавов происходит в два этапа. Это неизотермическое и изотермическое спекание. Первое характеризуется изменением температуры спекания, а второе – </w:t>
      </w:r>
      <w:r w:rsidR="00F85A36" w:rsidRPr="00137557">
        <w:rPr>
          <w:rFonts w:ascii="Times New Roman" w:hAnsi="Times New Roman" w:cs="Times New Roman"/>
          <w:sz w:val="28"/>
          <w:szCs w:val="28"/>
        </w:rPr>
        <w:t xml:space="preserve">ее </w:t>
      </w:r>
      <w:r w:rsidRPr="00137557">
        <w:rPr>
          <w:rFonts w:ascii="Times New Roman" w:hAnsi="Times New Roman" w:cs="Times New Roman"/>
          <w:sz w:val="28"/>
          <w:szCs w:val="28"/>
        </w:rPr>
        <w:t>постоянством</w:t>
      </w:r>
      <w:r w:rsidR="00F85A36" w:rsidRPr="00137557">
        <w:rPr>
          <w:rFonts w:ascii="Times New Roman" w:hAnsi="Times New Roman" w:cs="Times New Roman"/>
          <w:sz w:val="28"/>
          <w:szCs w:val="28"/>
        </w:rPr>
        <w:t>.</w:t>
      </w:r>
    </w:p>
    <w:p w14:paraId="7433467D" w14:textId="62756945" w:rsidR="00F85A36" w:rsidRPr="00137557" w:rsidRDefault="00F85A36" w:rsidP="00137557">
      <w:pPr>
        <w:pStyle w:val="a9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 xml:space="preserve">Также сформулирована задача обучения: Для заданных инструктором в сценарии обучения входных параметров процесса спекания </w:t>
      </w:r>
      <w:r w:rsidRPr="00137557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137557">
        <w:rPr>
          <w:rFonts w:ascii="Times New Roman" w:hAnsi="Times New Roman" w:cs="Times New Roman"/>
          <w:sz w:val="28"/>
          <w:szCs w:val="28"/>
        </w:rPr>
        <w:t xml:space="preserve"> варьированием управляющих воздействий </w:t>
      </w:r>
      <w:r w:rsidRPr="00137557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137557">
        <w:rPr>
          <w:rFonts w:ascii="Times New Roman" w:hAnsi="Times New Roman" w:cs="Times New Roman"/>
          <w:sz w:val="28"/>
          <w:szCs w:val="28"/>
        </w:rPr>
        <w:t xml:space="preserve"> в регламентных диапазонах </w:t>
      </w:r>
      <w:r w:rsidRPr="00137557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137557">
        <w:rPr>
          <w:rFonts w:ascii="Times New Roman" w:hAnsi="Times New Roman" w:cs="Times New Roman"/>
          <w:sz w:val="28"/>
          <w:szCs w:val="28"/>
        </w:rPr>
        <w:t>ϵ[</w:t>
      </w:r>
      <w:r w:rsidRPr="00137557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1375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min</w:t>
      </w:r>
      <w:r w:rsidRPr="00137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557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13755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max</w:t>
      </w:r>
      <w:proofErr w:type="spellEnd"/>
      <w:r w:rsidRPr="00137557">
        <w:rPr>
          <w:rFonts w:ascii="Times New Roman" w:hAnsi="Times New Roman" w:cs="Times New Roman"/>
          <w:sz w:val="28"/>
          <w:szCs w:val="28"/>
        </w:rPr>
        <w:t>] по математической модели найти такие их значения, которые обеспечивают требуемое качество твердого сплава при котором пористость должна быть меньше либо равна заданной, а плотность, прочность и твердость должны быть больше заданных</w:t>
      </w:r>
    </w:p>
    <w:p w14:paraId="4C845558" w14:textId="09AC9CA8" w:rsidR="00F85A36" w:rsidRPr="00137557" w:rsidRDefault="00F85A36" w:rsidP="00137557">
      <w:pPr>
        <w:pStyle w:val="a9"/>
        <w:numPr>
          <w:ilvl w:val="0"/>
          <w:numId w:val="3"/>
        </w:numPr>
        <w:tabs>
          <w:tab w:val="left" w:pos="426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В рамках данной работы разрабатывались следующие подсистемы: подсистема формирования протоколов исследования и управления качеством продукции, подсистема погружения в виртуальное пространство и информационная подсистема виртуального тренажера.</w:t>
      </w:r>
    </w:p>
    <w:p w14:paraId="64798737" w14:textId="7C893E67" w:rsidR="00F85A36" w:rsidRPr="00137557" w:rsidRDefault="00F85A36" w:rsidP="00137557">
      <w:pPr>
        <w:pStyle w:val="a9"/>
        <w:numPr>
          <w:ilvl w:val="0"/>
          <w:numId w:val="3"/>
        </w:numPr>
        <w:tabs>
          <w:tab w:val="left" w:pos="426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Информационная подсистема включает базы данных учетных записей пользователей и базу данных характеристик процесса спекания. Подсистема связана с внешней подсистемой исследования процесса спекания.</w:t>
      </w:r>
    </w:p>
    <w:p w14:paraId="3B5C0BA6" w14:textId="2FC7815C" w:rsidR="00F85A36" w:rsidRPr="00137557" w:rsidRDefault="00F85A36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lastRenderedPageBreak/>
        <w:t>Концептуальная модель базы данных характеристик процесса спекания логически разделена на 2 части: характеристики процесса спекания и учетные записи пользователей со сценариями и протоколами обучения. Типы связей между сущностями это 1 к 1 и 1 ко многим.</w:t>
      </w:r>
    </w:p>
    <w:p w14:paraId="087AE030" w14:textId="7C7E7E1E" w:rsidR="00F85A36" w:rsidRPr="00137557" w:rsidRDefault="00F85A36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 xml:space="preserve">Даталогическая модель базы данных характеристик процесса спекания </w:t>
      </w:r>
      <w:r w:rsidR="00466AFC" w:rsidRPr="00137557">
        <w:rPr>
          <w:rFonts w:ascii="Times New Roman" w:hAnsi="Times New Roman" w:cs="Times New Roman"/>
          <w:sz w:val="28"/>
          <w:szCs w:val="28"/>
        </w:rPr>
        <w:t xml:space="preserve">спроектирована с использованием различных типов данных </w:t>
      </w:r>
      <w:r w:rsidR="00466AFC" w:rsidRPr="00137557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466AFC" w:rsidRPr="00137557">
        <w:rPr>
          <w:rFonts w:ascii="Times New Roman" w:hAnsi="Times New Roman" w:cs="Times New Roman"/>
          <w:sz w:val="28"/>
          <w:szCs w:val="28"/>
        </w:rPr>
        <w:t xml:space="preserve">, </w:t>
      </w:r>
      <w:r w:rsidR="00466AFC" w:rsidRPr="0013755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66AFC" w:rsidRPr="00137557">
        <w:rPr>
          <w:rFonts w:ascii="Times New Roman" w:hAnsi="Times New Roman" w:cs="Times New Roman"/>
          <w:sz w:val="28"/>
          <w:szCs w:val="28"/>
        </w:rPr>
        <w:t xml:space="preserve"> и </w:t>
      </w:r>
      <w:r w:rsidR="00466AFC" w:rsidRPr="0013755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66AFC" w:rsidRPr="00137557">
        <w:rPr>
          <w:rFonts w:ascii="Times New Roman" w:hAnsi="Times New Roman" w:cs="Times New Roman"/>
          <w:sz w:val="28"/>
          <w:szCs w:val="28"/>
        </w:rPr>
        <w:t>.</w:t>
      </w:r>
    </w:p>
    <w:p w14:paraId="05381E53" w14:textId="13A0D142" w:rsidR="00466AFC" w:rsidRPr="00137557" w:rsidRDefault="00466AFC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Структура библиотеки мат моделей включает 4 показателя качества твердого сплава. Модели работают в конкретных диапазонах режимных параметров.</w:t>
      </w:r>
    </w:p>
    <w:p w14:paraId="0409C805" w14:textId="19C0C088" w:rsidR="00466AFC" w:rsidRPr="00137557" w:rsidRDefault="00466AFC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 xml:space="preserve">В ходе обзора программного обеспечения для создания </w:t>
      </w:r>
      <w:proofErr w:type="spellStart"/>
      <w:r w:rsidRPr="0013755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37557">
        <w:rPr>
          <w:rFonts w:ascii="Times New Roman" w:hAnsi="Times New Roman" w:cs="Times New Roman"/>
          <w:sz w:val="28"/>
          <w:szCs w:val="28"/>
        </w:rPr>
        <w:t xml:space="preserve"> выбрана </w:t>
      </w:r>
      <w:proofErr w:type="spellStart"/>
      <w:r w:rsidRPr="00137557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137557">
        <w:rPr>
          <w:rFonts w:ascii="Times New Roman" w:hAnsi="Times New Roman" w:cs="Times New Roman"/>
          <w:sz w:val="28"/>
          <w:szCs w:val="28"/>
        </w:rPr>
        <w:t xml:space="preserve"> </w:t>
      </w:r>
      <w:r w:rsidRPr="0013755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37557">
        <w:rPr>
          <w:rFonts w:ascii="Times New Roman" w:hAnsi="Times New Roman" w:cs="Times New Roman"/>
          <w:sz w:val="28"/>
          <w:szCs w:val="28"/>
        </w:rPr>
        <w:t xml:space="preserve">, так как это встраиваемая </w:t>
      </w:r>
      <w:proofErr w:type="spellStart"/>
      <w:r w:rsidRPr="00137557">
        <w:rPr>
          <w:rFonts w:ascii="Times New Roman" w:hAnsi="Times New Roman" w:cs="Times New Roman"/>
          <w:sz w:val="28"/>
          <w:szCs w:val="28"/>
        </w:rPr>
        <w:t>субд</w:t>
      </w:r>
      <w:proofErr w:type="spellEnd"/>
      <w:r w:rsidRPr="00137557">
        <w:rPr>
          <w:rFonts w:ascii="Times New Roman" w:hAnsi="Times New Roman" w:cs="Times New Roman"/>
          <w:sz w:val="28"/>
          <w:szCs w:val="28"/>
        </w:rPr>
        <w:t xml:space="preserve"> с большим максимальным объемом БД.</w:t>
      </w:r>
    </w:p>
    <w:p w14:paraId="505FDCA1" w14:textId="1F307266" w:rsidR="00466AFC" w:rsidRPr="00137557" w:rsidRDefault="00466AFC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Алгоритмы формирования сценариев и протоколов обучения взаимодействуют с базами данных учетных записей пользователей и базой данных характеристик процесса спекания.</w:t>
      </w:r>
      <w:r w:rsidR="00100D0C" w:rsidRPr="00137557">
        <w:rPr>
          <w:rFonts w:ascii="Times New Roman" w:hAnsi="Times New Roman" w:cs="Times New Roman"/>
          <w:sz w:val="28"/>
          <w:szCs w:val="28"/>
        </w:rPr>
        <w:t xml:space="preserve"> В сценарии задается тип материала, марка печи и показатели качества. Протокол содержит записи действий обучаемого.</w:t>
      </w:r>
    </w:p>
    <w:p w14:paraId="51C08259" w14:textId="688E38BE" w:rsidR="00100D0C" w:rsidRPr="00137557" w:rsidRDefault="00100D0C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 xml:space="preserve">Зона ответственности администратора это </w:t>
      </w:r>
      <w:proofErr w:type="spellStart"/>
      <w:r w:rsidRPr="00137557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37557">
        <w:rPr>
          <w:rFonts w:ascii="Times New Roman" w:hAnsi="Times New Roman" w:cs="Times New Roman"/>
          <w:sz w:val="28"/>
          <w:szCs w:val="28"/>
        </w:rPr>
        <w:t>. Специалиста по мат обеспечению- мат модели. Инструктора- сценарии и протоколы обучения. Обучаемый имеет доступ к виртуальному тренажеру и расчеты выходных параметров процесса спекания.</w:t>
      </w:r>
    </w:p>
    <w:p w14:paraId="40E722BC" w14:textId="4C384114" w:rsidR="00100D0C" w:rsidRPr="00137557" w:rsidRDefault="00100D0C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программного </w:t>
      </w:r>
      <w:proofErr w:type="gramStart"/>
      <w:r w:rsidRPr="00137557">
        <w:rPr>
          <w:rFonts w:ascii="Times New Roman" w:hAnsi="Times New Roman" w:cs="Times New Roman"/>
          <w:b/>
          <w:bCs/>
          <w:sz w:val="28"/>
          <w:szCs w:val="28"/>
        </w:rPr>
        <w:t>комплекса</w:t>
      </w:r>
      <w:proofErr w:type="gramEnd"/>
      <w:r w:rsidR="00276B5C" w:rsidRPr="001375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7557">
        <w:rPr>
          <w:rFonts w:ascii="Times New Roman" w:hAnsi="Times New Roman" w:cs="Times New Roman"/>
          <w:sz w:val="28"/>
          <w:szCs w:val="28"/>
        </w:rPr>
        <w:t>Рассказать</w:t>
      </w:r>
    </w:p>
    <w:p w14:paraId="4A737637" w14:textId="79796B54" w:rsidR="00100D0C" w:rsidRPr="00137557" w:rsidRDefault="00100D0C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Сверху слева представлен рисунок с примером интерфейса инструктора с формированием сценария обучения. Снизу- пример виртуально пространства для обучения. И справа протокол обучения.</w:t>
      </w:r>
    </w:p>
    <w:p w14:paraId="542245FC" w14:textId="309B77CF" w:rsidR="00100D0C" w:rsidRPr="00137557" w:rsidRDefault="00100D0C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На графиках зависимости плотности, прочности, твердости и пористости от времени видно, что все показатели качества достигли заданных значений.</w:t>
      </w:r>
      <w:r w:rsidR="00170EFD" w:rsidRPr="00137557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E31E3E" w:rsidRPr="00137557">
        <w:rPr>
          <w:rFonts w:ascii="Times New Roman" w:hAnsi="Times New Roman" w:cs="Times New Roman"/>
          <w:sz w:val="28"/>
          <w:szCs w:val="28"/>
        </w:rPr>
        <w:t>П</w:t>
      </w:r>
      <w:r w:rsidR="00170EFD" w:rsidRPr="00137557">
        <w:rPr>
          <w:rFonts w:ascii="Times New Roman" w:hAnsi="Times New Roman" w:cs="Times New Roman"/>
          <w:sz w:val="28"/>
          <w:szCs w:val="28"/>
        </w:rPr>
        <w:t>одтверди</w:t>
      </w:r>
      <w:r w:rsidR="00E31E3E" w:rsidRPr="00137557">
        <w:rPr>
          <w:rFonts w:ascii="Times New Roman" w:hAnsi="Times New Roman" w:cs="Times New Roman"/>
          <w:sz w:val="28"/>
          <w:szCs w:val="28"/>
        </w:rPr>
        <w:t xml:space="preserve">л </w:t>
      </w:r>
      <w:r w:rsidR="00170EFD" w:rsidRPr="00137557">
        <w:rPr>
          <w:rFonts w:ascii="Times New Roman" w:hAnsi="Times New Roman" w:cs="Times New Roman"/>
          <w:sz w:val="28"/>
          <w:szCs w:val="28"/>
        </w:rPr>
        <w:t>работоспособность программного комплекса для данного класса объектов.</w:t>
      </w:r>
    </w:p>
    <w:p w14:paraId="4C6F6E64" w14:textId="0E60EC95" w:rsidR="00100D0C" w:rsidRPr="00137557" w:rsidRDefault="00100D0C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Для работы виртуального тренажера необходим</w:t>
      </w:r>
      <w:r w:rsidR="00FA5663" w:rsidRPr="00137557">
        <w:rPr>
          <w:rFonts w:ascii="Times New Roman" w:hAnsi="Times New Roman" w:cs="Times New Roman"/>
          <w:sz w:val="28"/>
          <w:szCs w:val="28"/>
        </w:rPr>
        <w:t xml:space="preserve">а гарнитура виртуальной </w:t>
      </w:r>
      <w:r w:rsidR="00276B5C" w:rsidRPr="00137557">
        <w:rPr>
          <w:rFonts w:ascii="Times New Roman" w:hAnsi="Times New Roman" w:cs="Times New Roman"/>
          <w:sz w:val="28"/>
          <w:szCs w:val="28"/>
        </w:rPr>
        <w:t>реальности</w:t>
      </w:r>
      <w:r w:rsidR="00FA5663" w:rsidRPr="00137557">
        <w:rPr>
          <w:rFonts w:ascii="Times New Roman" w:hAnsi="Times New Roman" w:cs="Times New Roman"/>
          <w:sz w:val="28"/>
          <w:szCs w:val="28"/>
        </w:rPr>
        <w:t xml:space="preserve"> контроллеры.</w:t>
      </w:r>
    </w:p>
    <w:p w14:paraId="23073BBC" w14:textId="11DAF5C9" w:rsidR="00FA5663" w:rsidRPr="00137557" w:rsidRDefault="00FA5663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 xml:space="preserve">В ходе выполнения выпускной квалификационной работы </w:t>
      </w:r>
      <w:r w:rsidR="00170EFD" w:rsidRPr="00137557">
        <w:rPr>
          <w:rFonts w:ascii="Times New Roman" w:hAnsi="Times New Roman" w:cs="Times New Roman"/>
          <w:sz w:val="28"/>
          <w:szCs w:val="28"/>
        </w:rPr>
        <w:t>решены все поставленные задачи</w:t>
      </w:r>
    </w:p>
    <w:p w14:paraId="4C2F7A9A" w14:textId="4F44C8AF" w:rsidR="00170EFD" w:rsidRPr="00137557" w:rsidRDefault="00170EFD" w:rsidP="00137557">
      <w:pPr>
        <w:pStyle w:val="a9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</w:rPr>
        <w:t>Опубликован тезис на научной конференции традиции и инновации</w:t>
      </w:r>
    </w:p>
    <w:p w14:paraId="011A4B13" w14:textId="77777777" w:rsidR="00170EFD" w:rsidRPr="00137557" w:rsidRDefault="00170EFD" w:rsidP="001375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A77B8" w14:textId="77777777" w:rsidR="00137557" w:rsidRPr="00137557" w:rsidRDefault="00137557" w:rsidP="001375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D9DA3" w14:textId="77777777" w:rsidR="00137557" w:rsidRPr="00137557" w:rsidRDefault="00137557" w:rsidP="00137557">
      <w:pPr>
        <w:ind w:firstLine="709"/>
        <w:jc w:val="both"/>
        <w:rPr>
          <w:rStyle w:val="hgkelc"/>
          <w:rFonts w:ascii="Times New Roman" w:hAnsi="Times New Roman" w:cs="Times New Roman"/>
          <w:b/>
          <w:bCs/>
          <w:sz w:val="28"/>
          <w:szCs w:val="28"/>
          <w:highlight w:val="yellow"/>
        </w:rPr>
      </w:pPr>
      <w:proofErr w:type="spellStart"/>
      <w:r w:rsidRPr="00137557">
        <w:rPr>
          <w:rStyle w:val="hgkelc"/>
          <w:rFonts w:ascii="Times New Roman" w:hAnsi="Times New Roman" w:cs="Times New Roman"/>
          <w:sz w:val="28"/>
          <w:szCs w:val="28"/>
          <w:highlight w:val="yellow"/>
        </w:rPr>
        <w:lastRenderedPageBreak/>
        <w:t>По́ристость</w:t>
      </w:r>
      <w:proofErr w:type="spellEnd"/>
      <w:r w:rsidRPr="00137557">
        <w:rPr>
          <w:rStyle w:val="hgkelc"/>
          <w:rFonts w:ascii="Times New Roman" w:hAnsi="Times New Roman" w:cs="Times New Roman"/>
          <w:sz w:val="28"/>
          <w:szCs w:val="28"/>
          <w:highlight w:val="yellow"/>
        </w:rPr>
        <w:t xml:space="preserve"> (устар. скважность) — </w:t>
      </w:r>
      <w:r w:rsidRPr="00137557">
        <w:rPr>
          <w:rStyle w:val="hgkelc"/>
          <w:rFonts w:ascii="Times New Roman" w:hAnsi="Times New Roman" w:cs="Times New Roman"/>
          <w:b/>
          <w:bCs/>
          <w:sz w:val="28"/>
          <w:szCs w:val="28"/>
          <w:highlight w:val="yellow"/>
        </w:rPr>
        <w:t>доля объёма пор в общем объёме пористого тела</w:t>
      </w:r>
    </w:p>
    <w:p w14:paraId="20E97D1E" w14:textId="09A63220" w:rsidR="00137557" w:rsidRPr="00137557" w:rsidRDefault="00137557" w:rsidP="00137557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3755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37557">
        <w:rPr>
          <w:rFonts w:ascii="Times New Roman" w:hAnsi="Times New Roman" w:cs="Times New Roman"/>
          <w:sz w:val="28"/>
          <w:szCs w:val="28"/>
          <w:highlight w:val="yellow"/>
        </w:rPr>
        <w:t>Пло́тность</w:t>
      </w:r>
      <w:proofErr w:type="spellEnd"/>
      <w:r w:rsidRPr="00137557">
        <w:rPr>
          <w:rFonts w:ascii="Times New Roman" w:hAnsi="Times New Roman" w:cs="Times New Roman"/>
          <w:sz w:val="28"/>
          <w:szCs w:val="28"/>
          <w:highlight w:val="yellow"/>
        </w:rPr>
        <w:t xml:space="preserve"> — скалярная физическая величина, определяемая как отношение массы тела к занимаемому этим телом объёму или как производная массы по объёму</w:t>
      </w:r>
    </w:p>
    <w:p w14:paraId="1D5583A4" w14:textId="77777777" w:rsidR="00137557" w:rsidRPr="00137557" w:rsidRDefault="00137557" w:rsidP="00137557">
      <w:pPr>
        <w:pStyle w:val="ae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137557">
        <w:rPr>
          <w:b/>
          <w:bCs/>
          <w:sz w:val="28"/>
          <w:szCs w:val="28"/>
          <w:highlight w:val="yellow"/>
        </w:rPr>
        <w:t>Ме́тод</w:t>
      </w:r>
      <w:proofErr w:type="spellEnd"/>
      <w:r w:rsidRPr="00137557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137557">
        <w:rPr>
          <w:b/>
          <w:bCs/>
          <w:sz w:val="28"/>
          <w:szCs w:val="28"/>
          <w:highlight w:val="yellow"/>
        </w:rPr>
        <w:t>Ро́квелла</w:t>
      </w:r>
      <w:proofErr w:type="spellEnd"/>
      <w:hyperlink r:id="rId5" w:anchor="cite_note-1" w:history="1">
        <w:r w:rsidRPr="00137557">
          <w:rPr>
            <w:rStyle w:val="af"/>
            <w:rFonts w:eastAsiaTheme="majorEastAsia"/>
            <w:sz w:val="28"/>
            <w:szCs w:val="28"/>
            <w:highlight w:val="yellow"/>
            <w:vertAlign w:val="superscript"/>
          </w:rPr>
          <w:t>[1]</w:t>
        </w:r>
      </w:hyperlink>
      <w:r w:rsidRPr="00137557">
        <w:rPr>
          <w:sz w:val="28"/>
          <w:szCs w:val="28"/>
          <w:highlight w:val="yellow"/>
        </w:rPr>
        <w:t xml:space="preserve"> — метод неразрушающей проверки </w:t>
      </w:r>
      <w:hyperlink r:id="rId6" w:tooltip="Твёрдость" w:history="1">
        <w:r w:rsidRPr="00137557">
          <w:rPr>
            <w:rStyle w:val="af"/>
            <w:rFonts w:eastAsiaTheme="majorEastAsia"/>
            <w:sz w:val="28"/>
            <w:szCs w:val="28"/>
            <w:highlight w:val="yellow"/>
          </w:rPr>
          <w:t>твёрдости</w:t>
        </w:r>
      </w:hyperlink>
      <w:r w:rsidRPr="00137557">
        <w:rPr>
          <w:sz w:val="28"/>
          <w:szCs w:val="28"/>
          <w:highlight w:val="yellow"/>
        </w:rPr>
        <w:t xml:space="preserve"> материалов. Основан на измерении глубины проникновения твёрдого наконечника, называемого </w:t>
      </w:r>
      <w:hyperlink r:id="rId7" w:tooltip="Индентор" w:history="1">
        <w:r w:rsidRPr="00137557">
          <w:rPr>
            <w:rStyle w:val="af"/>
            <w:rFonts w:eastAsiaTheme="majorEastAsia"/>
            <w:sz w:val="28"/>
            <w:szCs w:val="28"/>
            <w:highlight w:val="yellow"/>
          </w:rPr>
          <w:t>индентором,</w:t>
        </w:r>
      </w:hyperlink>
      <w:r w:rsidRPr="00137557">
        <w:rPr>
          <w:sz w:val="28"/>
          <w:szCs w:val="28"/>
          <w:highlight w:val="yellow"/>
        </w:rPr>
        <w:t xml:space="preserve"> в исследуемый материал при приложении одинаковой для каждой шкалы твёрдости нагрузки. В зависимости от шкалы обычно 60, 100 и 150 </w:t>
      </w:r>
      <w:hyperlink r:id="rId8" w:tooltip="Килограмм силы" w:history="1">
        <w:r w:rsidRPr="00137557">
          <w:rPr>
            <w:rStyle w:val="af"/>
            <w:rFonts w:eastAsiaTheme="majorEastAsia"/>
            <w:sz w:val="28"/>
            <w:szCs w:val="28"/>
            <w:highlight w:val="yellow"/>
          </w:rPr>
          <w:t>кгс</w:t>
        </w:r>
      </w:hyperlink>
      <w:r w:rsidRPr="00137557">
        <w:rPr>
          <w:sz w:val="28"/>
          <w:szCs w:val="28"/>
          <w:highlight w:val="yellow"/>
        </w:rPr>
        <w:t xml:space="preserve">. </w:t>
      </w:r>
    </w:p>
    <w:p w14:paraId="74A7DD01" w14:textId="77777777" w:rsidR="00137557" w:rsidRPr="00137557" w:rsidRDefault="00137557" w:rsidP="00137557">
      <w:pPr>
        <w:pStyle w:val="ae"/>
        <w:ind w:firstLine="709"/>
        <w:jc w:val="both"/>
        <w:rPr>
          <w:sz w:val="28"/>
          <w:szCs w:val="28"/>
          <w:highlight w:val="yellow"/>
        </w:rPr>
      </w:pPr>
      <w:r w:rsidRPr="00137557">
        <w:rPr>
          <w:sz w:val="28"/>
          <w:szCs w:val="28"/>
          <w:highlight w:val="yellow"/>
        </w:rPr>
        <w:t xml:space="preserve">В качестве инденторов в методе применяются прочные шарики и </w:t>
      </w:r>
      <w:hyperlink r:id="rId9" w:tooltip="Алмаз" w:history="1">
        <w:r w:rsidRPr="00137557">
          <w:rPr>
            <w:rStyle w:val="af"/>
            <w:rFonts w:eastAsiaTheme="majorEastAsia"/>
            <w:sz w:val="28"/>
            <w:szCs w:val="28"/>
            <w:highlight w:val="yellow"/>
          </w:rPr>
          <w:t>алмазные</w:t>
        </w:r>
      </w:hyperlink>
      <w:r w:rsidRPr="00137557">
        <w:rPr>
          <w:sz w:val="28"/>
          <w:szCs w:val="28"/>
          <w:highlight w:val="yellow"/>
        </w:rPr>
        <w:t xml:space="preserve"> конусы с углом при вершине 120° со скруглённым острым концом. </w:t>
      </w:r>
    </w:p>
    <w:p w14:paraId="66D65291" w14:textId="77777777" w:rsidR="00137557" w:rsidRPr="00137557" w:rsidRDefault="00137557" w:rsidP="00137557">
      <w:pPr>
        <w:pStyle w:val="ae"/>
        <w:ind w:firstLine="709"/>
        <w:jc w:val="both"/>
        <w:rPr>
          <w:sz w:val="28"/>
          <w:szCs w:val="28"/>
          <w:highlight w:val="yellow"/>
        </w:rPr>
      </w:pPr>
      <w:r w:rsidRPr="00137557">
        <w:rPr>
          <w:sz w:val="28"/>
          <w:szCs w:val="28"/>
          <w:highlight w:val="yellow"/>
        </w:rPr>
        <w:t xml:space="preserve">Из-за своей простоты, скорости по сравнению с другими методами и воспроизводимости результатов он является одним из наиболее распространённых методов испытаний материалов на твёрдость. </w:t>
      </w:r>
    </w:p>
    <w:p w14:paraId="2627B656" w14:textId="5141A48D" w:rsidR="00137557" w:rsidRPr="00137557" w:rsidRDefault="00137557" w:rsidP="00137557">
      <w:pPr>
        <w:ind w:firstLine="709"/>
        <w:jc w:val="both"/>
        <w:rPr>
          <w:rStyle w:val="hgkelc"/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37557">
        <w:rPr>
          <w:rStyle w:val="hgkelc"/>
          <w:rFonts w:ascii="Times New Roman" w:hAnsi="Times New Roman" w:cs="Times New Roman"/>
          <w:sz w:val="28"/>
          <w:szCs w:val="28"/>
          <w:highlight w:val="yellow"/>
        </w:rPr>
        <w:t xml:space="preserve">Прочность – это </w:t>
      </w:r>
      <w:r w:rsidRPr="00137557">
        <w:rPr>
          <w:rStyle w:val="hgkelc"/>
          <w:rFonts w:ascii="Times New Roman" w:hAnsi="Times New Roman" w:cs="Times New Roman"/>
          <w:b/>
          <w:bCs/>
          <w:sz w:val="28"/>
          <w:szCs w:val="28"/>
          <w:highlight w:val="yellow"/>
        </w:rPr>
        <w:t>способность металла сопротивляться деформации и разрушению</w:t>
      </w:r>
      <w:r w:rsidRPr="00137557">
        <w:rPr>
          <w:rStyle w:val="hgkelc"/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0BFD33E" w14:textId="7492473A" w:rsidR="00137557" w:rsidRPr="00137557" w:rsidRDefault="00137557" w:rsidP="001375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557">
        <w:rPr>
          <w:rFonts w:ascii="Times New Roman" w:hAnsi="Times New Roman" w:cs="Times New Roman"/>
          <w:sz w:val="28"/>
          <w:szCs w:val="28"/>
          <w:highlight w:val="yellow"/>
        </w:rPr>
        <w:t>Давление газ - аргон</w:t>
      </w:r>
    </w:p>
    <w:sectPr w:rsidR="00137557" w:rsidRPr="00137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F247C"/>
    <w:multiLevelType w:val="hybridMultilevel"/>
    <w:tmpl w:val="A496A5FC"/>
    <w:lvl w:ilvl="0" w:tplc="1CE6F47C">
      <w:start w:val="1"/>
      <w:numFmt w:val="bullet"/>
      <w:lvlText w:val="•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1" w:tplc="EE4A3AA4" w:tentative="1">
      <w:start w:val="1"/>
      <w:numFmt w:val="bullet"/>
      <w:lvlText w:val="•"/>
      <w:lvlJc w:val="left"/>
      <w:pPr>
        <w:tabs>
          <w:tab w:val="num" w:pos="1648"/>
        </w:tabs>
        <w:ind w:left="1648" w:hanging="360"/>
      </w:pPr>
      <w:rPr>
        <w:rFonts w:ascii="Arial" w:hAnsi="Arial" w:hint="default"/>
      </w:rPr>
    </w:lvl>
    <w:lvl w:ilvl="2" w:tplc="2E0AB202" w:tentative="1">
      <w:start w:val="1"/>
      <w:numFmt w:val="bullet"/>
      <w:lvlText w:val="•"/>
      <w:lvlJc w:val="left"/>
      <w:pPr>
        <w:tabs>
          <w:tab w:val="num" w:pos="2368"/>
        </w:tabs>
        <w:ind w:left="2368" w:hanging="360"/>
      </w:pPr>
      <w:rPr>
        <w:rFonts w:ascii="Arial" w:hAnsi="Arial" w:hint="default"/>
      </w:rPr>
    </w:lvl>
    <w:lvl w:ilvl="3" w:tplc="A6C0A364" w:tentative="1">
      <w:start w:val="1"/>
      <w:numFmt w:val="bullet"/>
      <w:lvlText w:val="•"/>
      <w:lvlJc w:val="left"/>
      <w:pPr>
        <w:tabs>
          <w:tab w:val="num" w:pos="3088"/>
        </w:tabs>
        <w:ind w:left="3088" w:hanging="360"/>
      </w:pPr>
      <w:rPr>
        <w:rFonts w:ascii="Arial" w:hAnsi="Arial" w:hint="default"/>
      </w:rPr>
    </w:lvl>
    <w:lvl w:ilvl="4" w:tplc="D9DC8F20" w:tentative="1">
      <w:start w:val="1"/>
      <w:numFmt w:val="bullet"/>
      <w:lvlText w:val="•"/>
      <w:lvlJc w:val="left"/>
      <w:pPr>
        <w:tabs>
          <w:tab w:val="num" w:pos="3808"/>
        </w:tabs>
        <w:ind w:left="3808" w:hanging="360"/>
      </w:pPr>
      <w:rPr>
        <w:rFonts w:ascii="Arial" w:hAnsi="Arial" w:hint="default"/>
      </w:rPr>
    </w:lvl>
    <w:lvl w:ilvl="5" w:tplc="4DEA6340" w:tentative="1">
      <w:start w:val="1"/>
      <w:numFmt w:val="bullet"/>
      <w:lvlText w:val="•"/>
      <w:lvlJc w:val="left"/>
      <w:pPr>
        <w:tabs>
          <w:tab w:val="num" w:pos="4528"/>
        </w:tabs>
        <w:ind w:left="4528" w:hanging="360"/>
      </w:pPr>
      <w:rPr>
        <w:rFonts w:ascii="Arial" w:hAnsi="Arial" w:hint="default"/>
      </w:rPr>
    </w:lvl>
    <w:lvl w:ilvl="6" w:tplc="06507294" w:tentative="1">
      <w:start w:val="1"/>
      <w:numFmt w:val="bullet"/>
      <w:lvlText w:val="•"/>
      <w:lvlJc w:val="left"/>
      <w:pPr>
        <w:tabs>
          <w:tab w:val="num" w:pos="5248"/>
        </w:tabs>
        <w:ind w:left="5248" w:hanging="360"/>
      </w:pPr>
      <w:rPr>
        <w:rFonts w:ascii="Arial" w:hAnsi="Arial" w:hint="default"/>
      </w:rPr>
    </w:lvl>
    <w:lvl w:ilvl="7" w:tplc="38B4A1A4" w:tentative="1">
      <w:start w:val="1"/>
      <w:numFmt w:val="bullet"/>
      <w:lvlText w:val="•"/>
      <w:lvlJc w:val="left"/>
      <w:pPr>
        <w:tabs>
          <w:tab w:val="num" w:pos="5968"/>
        </w:tabs>
        <w:ind w:left="5968" w:hanging="360"/>
      </w:pPr>
      <w:rPr>
        <w:rFonts w:ascii="Arial" w:hAnsi="Arial" w:hint="default"/>
      </w:rPr>
    </w:lvl>
    <w:lvl w:ilvl="8" w:tplc="C39A9F56" w:tentative="1">
      <w:start w:val="1"/>
      <w:numFmt w:val="bullet"/>
      <w:lvlText w:val="•"/>
      <w:lvlJc w:val="left"/>
      <w:pPr>
        <w:tabs>
          <w:tab w:val="num" w:pos="6688"/>
        </w:tabs>
        <w:ind w:left="6688" w:hanging="360"/>
      </w:pPr>
      <w:rPr>
        <w:rFonts w:ascii="Arial" w:hAnsi="Arial" w:hint="default"/>
      </w:rPr>
    </w:lvl>
  </w:abstractNum>
  <w:abstractNum w:abstractNumId="1" w15:restartNumberingAfterBreak="0">
    <w:nsid w:val="3E2C6AC9"/>
    <w:multiLevelType w:val="hybridMultilevel"/>
    <w:tmpl w:val="D8DE555E"/>
    <w:lvl w:ilvl="0" w:tplc="8160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40A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A63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A67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A89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306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4D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A6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74DC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37F8D"/>
    <w:multiLevelType w:val="hybridMultilevel"/>
    <w:tmpl w:val="4630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97652"/>
    <w:multiLevelType w:val="hybridMultilevel"/>
    <w:tmpl w:val="EA52EE5E"/>
    <w:lvl w:ilvl="0" w:tplc="40ECF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86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473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7E5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2E9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3C43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C7A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AD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6AE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455565">
    <w:abstractNumId w:val="0"/>
  </w:num>
  <w:num w:numId="2" w16cid:durableId="1131366832">
    <w:abstractNumId w:val="3"/>
  </w:num>
  <w:num w:numId="3" w16cid:durableId="1105223860">
    <w:abstractNumId w:val="2"/>
  </w:num>
  <w:num w:numId="4" w16cid:durableId="792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A2"/>
    <w:rsid w:val="0009165F"/>
    <w:rsid w:val="00100D0C"/>
    <w:rsid w:val="00137557"/>
    <w:rsid w:val="00170EFD"/>
    <w:rsid w:val="001D77C0"/>
    <w:rsid w:val="00214F2B"/>
    <w:rsid w:val="00276B5C"/>
    <w:rsid w:val="002B7C1B"/>
    <w:rsid w:val="002D71A2"/>
    <w:rsid w:val="00466AFC"/>
    <w:rsid w:val="00704C39"/>
    <w:rsid w:val="00981226"/>
    <w:rsid w:val="00987AB9"/>
    <w:rsid w:val="009C247C"/>
    <w:rsid w:val="00B52BDC"/>
    <w:rsid w:val="00BF162E"/>
    <w:rsid w:val="00CD59B4"/>
    <w:rsid w:val="00CE7C9F"/>
    <w:rsid w:val="00E31E3E"/>
    <w:rsid w:val="00E95199"/>
    <w:rsid w:val="00F85A36"/>
    <w:rsid w:val="00FA5663"/>
    <w:rsid w:val="00FD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39CE"/>
  <w15:chartTrackingRefBased/>
  <w15:docId w15:val="{683E9A32-623F-4C1E-A59D-54DA73A0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52BDC"/>
    <w:pPr>
      <w:keepNext/>
      <w:keepLines/>
      <w:widowControl w:val="0"/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BD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3">
    <w:name w:val="Главный заголовок"/>
    <w:basedOn w:val="2"/>
    <w:link w:val="a4"/>
    <w:autoRedefine/>
    <w:qFormat/>
    <w:rsid w:val="00B52BDC"/>
    <w:pPr>
      <w:spacing w:line="276" w:lineRule="auto"/>
      <w:jc w:val="both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customStyle="1" w:styleId="a4">
    <w:name w:val="Главный заголовок Знак"/>
    <w:basedOn w:val="20"/>
    <w:link w:val="a3"/>
    <w:rsid w:val="00B52BDC"/>
    <w:rPr>
      <w:rFonts w:ascii="Times New Roman" w:eastAsiaTheme="majorEastAsia" w:hAnsi="Times New Roman" w:cs="Times New Roman"/>
      <w:b/>
      <w:bCs/>
      <w:color w:val="0F4761" w:themeColor="accent1" w:themeShade="BF"/>
      <w:kern w:val="28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52BD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D7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1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1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1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1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1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1A2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2D7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D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D7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D7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7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71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71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71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7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2D71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71A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F8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gkelc">
    <w:name w:val="hgkelc"/>
    <w:basedOn w:val="a0"/>
    <w:rsid w:val="00137557"/>
  </w:style>
  <w:style w:type="character" w:styleId="af">
    <w:name w:val="Hyperlink"/>
    <w:basedOn w:val="a0"/>
    <w:uiPriority w:val="99"/>
    <w:semiHidden/>
    <w:unhideWhenUsed/>
    <w:rsid w:val="00137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8%D0%BB%D0%BE%D0%B3%D1%80%D0%B0%D0%BC%D0%BC_%D1%81%D0%B8%D0%BB%D1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0%B4%D0%B5%D0%BD%D1%82%D0%BE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2%D1%91%D1%80%D0%B4%D0%BE%D1%81%D1%82%D1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C%D0%B5%D1%82%D0%BE%D0%B4_%D0%A0%D0%BE%D0%BA%D0%B2%D0%B5%D0%BB%D0%BB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C%D0%B0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Колесникова</dc:creator>
  <cp:keywords/>
  <dc:description/>
  <cp:lastModifiedBy>Алина Колесникова</cp:lastModifiedBy>
  <cp:revision>3</cp:revision>
  <dcterms:created xsi:type="dcterms:W3CDTF">2024-06-23T14:12:00Z</dcterms:created>
  <dcterms:modified xsi:type="dcterms:W3CDTF">2024-06-24T20:21:00Z</dcterms:modified>
</cp:coreProperties>
</file>