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b/>
          <w:color w:val="2E86AB"/>
          <w:sz w:val="30"/>
        </w:rPr>
        <w:t>RENCANA PENGEMBANGAN</w:t>
      </w:r>
    </w:p>
    <w:p>
      <w:pPr>
        <w:jc w:val="center"/>
      </w:pPr>
      <w:r>
        <w:rPr>
          <w:b/>
          <w:color w:val="1E3A5F"/>
          <w:sz w:val="52"/>
        </w:rPr>
        <w:t>Add-on Modul Perusahaan Dagang</w:t>
      </w:r>
    </w:p>
    <w:p>
      <w:pPr>
        <w:jc w:val="center"/>
      </w:pPr>
      <w:r>
        <w:rPr>
          <w:i/>
          <w:color w:val="555555"/>
          <w:sz w:val="26"/>
        </w:rPr>
        <w:t>Persediaan Barang · Purchase Order · Faktur Penjualan · Point of Sales (POS)</w:t>
      </w:r>
    </w:p>
    <w:p>
      <w:pPr>
        <w:spacing w:after="800"/>
      </w:pPr>
    </w:p>
    <w:p>
      <w:pPr>
        <w:jc w:val="center"/>
      </w:pPr>
      <w:r>
        <w:rPr>
          <w:b/>
          <w:color w:val="1E3A5F"/>
          <w:sz w:val="24"/>
        </w:rPr>
        <w:t>AccessTansi — Aplikasi Akuntansi</w:t>
      </w:r>
    </w:p>
    <w:p>
      <w:pPr>
        <w:jc w:val="center"/>
      </w:pPr>
      <w:r>
        <w:rPr>
          <w:color w:val="555555"/>
          <w:sz w:val="22"/>
        </w:rPr>
        <w:t>15 August 2026</w:t>
      </w:r>
    </w:p>
    <w:p>
      <w:r>
        <w:br w:type="page"/>
      </w:r>
    </w:p>
    <w:p>
      <w:pPr>
        <w:pStyle w:val="Heading1"/>
      </w:pPr>
      <w:r>
        <w:rPr>
          <w:color w:val="1E3A5F"/>
          <w:sz w:val="36"/>
        </w:rPr>
        <w:t>1. Ringkasan Eksekutif</w:t>
      </w:r>
    </w:p>
    <w:p>
      <w:pPr>
        <w:spacing w:after="120"/>
      </w:pPr>
      <w:r>
        <w:rPr>
          <w:b w:val="0"/>
          <w:i w:val="0"/>
          <w:sz w:val="21"/>
        </w:rPr>
        <w:t>Client baru AccessTansi bergerak di bidang perusahaan dagang, dengan model bisnis campuran: grosir/B2B (invoice bertempo, piutang) dan eceran/retail (kasir, bayar langsung). Modul akuntansi yang sudah ada (COA, Jurnal Umum, Kontak, Anggaran, Laporan) belum mencakup pengelolaan barang dagang: stok, pembelian, penjualan, dan kasir. Dokumen ini merangkum rencana penambahan 4 modul add-on yang terintegrasi penuh dengan sistem jurnal &amp; COA yang sudah berjalan, sehingga setiap transaksi stok/penjualan/pembelian otomatis menghasilkan jurnal akuntansi yang benar tanpa entry manual.</w:t>
      </w:r>
    </w:p>
    <w:p>
      <w:pPr>
        <w:spacing w:after="80"/>
      </w:pPr>
      <w:r>
        <w:rPr>
          <w:b/>
          <w:i w:val="0"/>
          <w:sz w:val="21"/>
        </w:rPr>
        <w:t>Empat modul yang direncanakan:</w:t>
      </w:r>
    </w:p>
    <w:p>
      <w:pPr>
        <w:pStyle w:val="ListBullet"/>
        <w:spacing w:after="60"/>
      </w:pPr>
      <w:r>
        <w:t>Persediaan Barang Dagang (Inventory) — fondasi wajib: master barang, kartu stok, metode HPP rata-rata bergerak (moving average).</w:t>
      </w:r>
    </w:p>
    <w:p>
      <w:pPr>
        <w:pStyle w:val="ListBullet"/>
        <w:spacing w:after="60"/>
      </w:pPr>
      <w:r>
        <w:t>Purchase Order &amp; Penerimaan Barang — alur pembelian ke supplier, stok masuk otomatis, jurnal hutang usaha.</w:t>
      </w:r>
    </w:p>
    <w:p>
      <w:pPr>
        <w:pStyle w:val="ListBullet"/>
        <w:spacing w:after="60"/>
      </w:pPr>
      <w:r>
        <w:t>Faktur Penjualan (Sales Invoice) — alur B2B/grosir dengan termin pembayaran, jurnal piutang + pendapatan + HPP otomatis.</w:t>
      </w:r>
    </w:p>
    <w:p>
      <w:pPr>
        <w:pStyle w:val="ListBullet"/>
        <w:spacing w:after="60"/>
      </w:pPr>
      <w:r>
        <w:t>Point of Sales (POS) — kasir cepat untuk transaksi tunai/langsung di toko fisik, jurnal instan per transaksi.</w:t>
      </w:r>
    </w:p>
    <w:p>
      <w:pPr>
        <w:spacing w:after="120"/>
      </w:pPr>
      <w:r>
        <w:rPr>
          <w:b w:val="0"/>
          <w:i w:val="0"/>
          <w:sz w:val="21"/>
        </w:rPr>
        <w:t>Keempat modul berbagi satu sumber data stok yang sama (produk &amp; kartu stok), sehingga penjualan grosir lewat Faktur dan penjualan eceran lewat POS sama-sama mengurangi stok yang sama secara real-time — tidak ada data ganda.</w:t>
      </w:r>
    </w:p>
    <w:p>
      <w:pPr>
        <w:pStyle w:val="Heading1"/>
      </w:pPr>
      <w:r>
        <w:rPr>
          <w:color w:val="1E3A5F"/>
          <w:sz w:val="36"/>
        </w:rPr>
        <w:t>2. Latar Belakang &amp; Tujuan</w:t>
      </w:r>
    </w:p>
    <w:p>
      <w:pPr>
        <w:spacing w:after="120"/>
      </w:pPr>
      <w:r>
        <w:rPr>
          <w:b w:val="0"/>
          <w:i w:val="0"/>
          <w:sz w:val="21"/>
        </w:rPr>
        <w:t>AccessTansi saat ini adalah aplikasi akuntansi umum (general ledger) yang mencatat transaksi lewat Jurnal Umum manual. Untuk client perusahaan dagang, pencatatan manual seperti ini rawan human error (HPP tidak update, stok tidak termonitor, lupa jurnal piutang/hutang) dan tidak efisien untuk volume transaksi harian yang tinggi (terutama di kasir retail).</w:t>
      </w:r>
    </w:p>
    <w:p>
      <w:pPr>
        <w:spacing w:after="80"/>
      </w:pPr>
      <w:r>
        <w:rPr>
          <w:b/>
          <w:i w:val="0"/>
          <w:sz w:val="21"/>
        </w:rPr>
        <w:t>Tujuan pengembangan modul ini:</w:t>
      </w:r>
    </w:p>
    <w:p>
      <w:pPr>
        <w:pStyle w:val="ListBullet"/>
        <w:spacing w:after="60"/>
      </w:pPr>
      <w:r>
        <w:t>Otomatisasi penuh: transaksi stok/jual/beli langsung menghasilkan jurnal yang balance, tanpa entry manual ke Jurnal Umum.</w:t>
      </w:r>
    </w:p>
    <w:p>
      <w:pPr>
        <w:pStyle w:val="ListBullet"/>
        <w:spacing w:after="60"/>
      </w:pPr>
      <w:r>
        <w:t>Visibilitas stok real-time: kartu stok per produk, nilai persediaan, alert stok minimum.</w:t>
      </w:r>
    </w:p>
    <w:p>
      <w:pPr>
        <w:pStyle w:val="ListBullet"/>
        <w:spacing w:after="60"/>
      </w:pPr>
      <w:r>
        <w:t>Mendukung dua model bisnis client sekaligus (grosir &amp; eceran) dalam satu sistem yang konsisten.</w:t>
      </w:r>
    </w:p>
    <w:p>
      <w:pPr>
        <w:pStyle w:val="ListBullet"/>
        <w:spacing w:after="60"/>
      </w:pPr>
      <w:r>
        <w:t>Tetap konsisten dengan arsitektur yang sudah ada: multi-tenant (companyId), Drizzle ORM, sistem add-on &amp; billing yang sudah tersedia.</w:t>
      </w:r>
    </w:p>
    <w:p>
      <w:pPr>
        <w:pStyle w:val="Heading1"/>
      </w:pPr>
      <w:r>
        <w:rPr>
          <w:color w:val="1E3A5F"/>
          <w:sz w:val="36"/>
        </w:rPr>
        <w:t>3. Ruang Lingkup Modul</w:t>
      </w:r>
    </w:p>
    <w:p>
      <w:pPr>
        <w:pStyle w:val="Heading2"/>
      </w:pPr>
      <w:r>
        <w:rPr>
          <w:color w:val="1E3A5F"/>
          <w:sz w:val="28"/>
        </w:rPr>
        <w:t>3.1 Persediaan Barang Dagang (Inventory) — Fondasi</w:t>
      </w:r>
    </w:p>
    <w:p>
      <w:pPr>
        <w:spacing w:after="120"/>
      </w:pPr>
      <w:r>
        <w:rPr>
          <w:b w:val="0"/>
          <w:i w:val="0"/>
          <w:sz w:val="21"/>
        </w:rPr>
        <w:t>Modul dasar yang wajib ada sebelum 3 modul lain bisa jalan, karena semua transaksi dagang butuh master barang &amp; stok.</w:t>
      </w:r>
    </w:p>
    <w:p>
      <w:pPr>
        <w:pStyle w:val="ListBullet"/>
        <w:spacing w:after="60"/>
      </w:pPr>
      <w:r>
        <w:t>Master Barang: SKU, barcode, nama, kategori, satuan (pcs/box/kg dll), harga beli default, harga jual default, stok minimum, status aktif.</w:t>
      </w:r>
    </w:p>
    <w:p>
      <w:pPr>
        <w:pStyle w:val="ListBullet"/>
        <w:spacing w:after="60"/>
      </w:pPr>
      <w:r>
        <w:t>Kategori Barang &amp; Satuan — data pendukung, mirip pola Kategori Dokumen yang sudah ada.</w:t>
      </w:r>
    </w:p>
    <w:p>
      <w:pPr>
        <w:pStyle w:val="ListBullet"/>
        <w:spacing w:after="60"/>
      </w:pPr>
      <w:r>
        <w:t>Gudang (Warehouse) — opsional multi-gudang; default 1 gudang cukup untuk MVP, tapi skema disiapkan untuk multi-gudang ke depan.</w:t>
      </w:r>
    </w:p>
    <w:p>
      <w:pPr>
        <w:pStyle w:val="ListBullet"/>
        <w:spacing w:after="60"/>
      </w:pPr>
      <w:r>
        <w:t>Kartu Stok (Stock Ledger) — riwayat mutasi stok per produk (masuk/keluar/saldo) sebagai jejak audit, sumber kebenaran untuk perhitungan HPP.</w:t>
      </w:r>
    </w:p>
    <w:p>
      <w:pPr>
        <w:pStyle w:val="ListBullet"/>
        <w:spacing w:after="60"/>
      </w:pPr>
      <w:r>
        <w:t>Penyesuaian Stok (Stock Opname/Adjustment) — koreksi manual (barang rusak, selisih fisik) dengan jurnal ke akun "Selisih Stok".</w:t>
      </w:r>
    </w:p>
    <w:p>
      <w:pPr>
        <w:pStyle w:val="ListBullet"/>
        <w:spacing w:after="60"/>
      </w:pPr>
      <w:r>
        <w:t>Metode HPP: Rata-rata Bergerak (Moving Average) — lihat Bab 7 untuk detail perhitungan.</w:t>
      </w:r>
    </w:p>
    <w:p>
      <w:pPr>
        <w:pStyle w:val="Heading2"/>
      </w:pPr>
      <w:r>
        <w:rPr>
          <w:color w:val="1E3A5F"/>
          <w:sz w:val="28"/>
        </w:rPr>
        <w:t>3.2 Purchase Order &amp; Penerimaan Barang</w:t>
      </w:r>
    </w:p>
    <w:p>
      <w:pPr>
        <w:pStyle w:val="ListBullet"/>
        <w:spacing w:after="60"/>
      </w:pPr>
      <w:r>
        <w:t>Purchase Order (PO) ke supplier — draft pemesanan barang, belum berdampak stok/jurnal.</w:t>
      </w:r>
    </w:p>
    <w:p>
      <w:pPr>
        <w:pStyle w:val="ListBullet"/>
        <w:spacing w:after="60"/>
      </w:pPr>
      <w:r>
        <w:t>Penerimaan Barang (Goods Receipt) — barang fisik diterima, bisa direferensikan ke PO atau dibuat langsung tanpa PO. Saat status "Diposting": stok bertambah otomatis + jurnal Dr Persediaan / Cr Hutang Usaha.</w:t>
      </w:r>
    </w:p>
    <w:p>
      <w:pPr>
        <w:pStyle w:val="ListBullet"/>
        <w:spacing w:after="60"/>
      </w:pPr>
      <w:r>
        <w:t>Pembayaran Hutang (Purchase Payment) — pelunasan ke supplier, jurnal Dr Hutang Usaha / Cr Kas-Bank, terhubung ke Penerimaan Barang terkait (partial/full payment).</w:t>
      </w:r>
    </w:p>
    <w:p>
      <w:pPr>
        <w:pStyle w:val="ListBullet"/>
        <w:spacing w:after="60"/>
      </w:pPr>
      <w:r>
        <w:t>Riwayat pembelian per supplier — terintegrasi dengan halaman Contacts (vendor) yang sudah ada.</w:t>
      </w:r>
    </w:p>
    <w:p>
      <w:pPr>
        <w:pStyle w:val="Heading2"/>
      </w:pPr>
      <w:r>
        <w:rPr>
          <w:color w:val="1E3A5F"/>
          <w:sz w:val="28"/>
        </w:rPr>
        <w:t>3.3 Faktur Penjualan (Sales Invoice) — Grosir/B2B</w:t>
      </w:r>
    </w:p>
    <w:p>
      <w:pPr>
        <w:pStyle w:val="ListBullet"/>
        <w:spacing w:after="60"/>
      </w:pPr>
      <w:r>
        <w:t>Invoice ke customer dengan termin (jatuh tempo), multi-baris produk, diskon, pajak (PPN opsional).</w:t>
      </w:r>
    </w:p>
    <w:p>
      <w:pPr>
        <w:pStyle w:val="ListBullet"/>
        <w:spacing w:after="60"/>
      </w:pPr>
      <w:r>
        <w:t>Saat status "Diposting": stok berkurang otomatis + 2 jurnal simultan: (1) Dr Piutang Usaha / Cr Pendapatan Penjualan, (2) Dr HPP / Cr Persediaan (sebesar qty × harga pokok rata-rata saat itu).</w:t>
      </w:r>
    </w:p>
    <w:p>
      <w:pPr>
        <w:pStyle w:val="ListBullet"/>
        <w:spacing w:after="60"/>
      </w:pPr>
      <w:r>
        <w:t>Pelunasan Piutang (Sales Payment) — partial/full payment dari customer, jurnal Dr Kas-Bank / Cr Piutang Usaha.</w:t>
      </w:r>
    </w:p>
    <w:p>
      <w:pPr>
        <w:pStyle w:val="ListBullet"/>
        <w:spacing w:after="60"/>
      </w:pPr>
      <w:r>
        <w:t>Cetak invoice PDF — mengikuti pola cetak formulir yang sudah ada di Fund Request.</w:t>
      </w:r>
    </w:p>
    <w:p>
      <w:pPr>
        <w:pStyle w:val="Heading2"/>
      </w:pPr>
      <w:r>
        <w:rPr>
          <w:color w:val="1E3A5F"/>
          <w:sz w:val="28"/>
        </w:rPr>
        <w:t>3.4 Point of Sales (POS) — Eceran/Retail</w:t>
      </w:r>
    </w:p>
    <w:p>
      <w:pPr>
        <w:pStyle w:val="ListBullet"/>
        <w:spacing w:after="60"/>
      </w:pPr>
      <w:r>
        <w:t>Antarmuka kasir full-screen: pencarian produk cepat (nama/SKU/scan barcode), keranjang belanja, hitung kembalian otomatis.</w:t>
      </w:r>
    </w:p>
    <w:p>
      <w:pPr>
        <w:pStyle w:val="ListBullet"/>
        <w:spacing w:after="60"/>
      </w:pPr>
      <w:r>
        <w:t>Manajemen Shift Kasir — buka shift (modal kas awal) &amp; tutup shift (rekonsiliasi kas akhir vs sistem).</w:t>
      </w:r>
    </w:p>
    <w:p>
      <w:pPr>
        <w:pStyle w:val="ListBullet"/>
        <w:spacing w:after="60"/>
      </w:pPr>
      <w:r>
        <w:t>Metode pembayaran: Tunai, Transfer, QRIS, Kartu Debit/Kredit (dicatat, bukan integrasi payment gateway fisik di fase awal).</w:t>
      </w:r>
    </w:p>
    <w:p>
      <w:pPr>
        <w:pStyle w:val="ListBullet"/>
        <w:spacing w:after="60"/>
      </w:pPr>
      <w:r>
        <w:t>Transaksi POS langsung "final" (tidak ada status draft) — begitu checkout, otomatis: stok berkurang + jurnal Dr Kas-Bank(sesuai metode bayar) / Cr Pendapatan Penjualan, dan Dr HPP / Cr Persediaan.</w:t>
      </w:r>
    </w:p>
    <w:p>
      <w:pPr>
        <w:pStyle w:val="ListBullet"/>
        <w:spacing w:after="60"/>
      </w:pPr>
      <w:r>
        <w:t>Cetak struk (thermal 58/80mm via CSS print, atau PDF A4 sebagai fallback).</w:t>
      </w:r>
    </w:p>
    <w:p>
      <w:pPr>
        <w:pStyle w:val="ListBullet"/>
        <w:spacing w:after="60"/>
      </w:pPr>
      <w:r>
        <w:t>Void transaksi (khusus role tertentu) — reverse stok &amp; jurnal secara otomatis dengan jejak audit.</w:t>
      </w:r>
    </w:p>
    <w:p>
      <w:pPr>
        <w:pStyle w:val="Heading1"/>
      </w:pPr>
      <w:r>
        <w:rPr>
          <w:color w:val="1E3A5F"/>
          <w:sz w:val="36"/>
        </w:rPr>
        <w:t>4. Arsitektur &amp; Integrasi dengan Sistem Existing</w:t>
      </w:r>
    </w:p>
    <w:p>
      <w:pPr>
        <w:spacing w:after="120"/>
      </w:pPr>
      <w:r>
        <w:rPr>
          <w:b w:val="0"/>
          <w:i w:val="0"/>
          <w:sz w:val="21"/>
        </w:rPr>
        <w:t>Semua tabel baru mengikuti konvensi yang sudah dipakai di schema.ts sekarang: id varchar(36) UUID untuk entitas transaksional, companyId int untuk multi-tenant, timestamps createdAt/updatedAt, dan FK ke tabel accounts/contacts/users yang sudah ada. Drizzle ORM tetap dipakai sebagai satu-satunya ORM (konsisten dengan migrasi journals.controller.ts yang sudah pindah dari raw mysql2 ke Drizzle).</w:t>
      </w:r>
    </w:p>
    <w:p>
      <w:pPr>
        <w:pStyle w:val="Heading2"/>
      </w:pPr>
      <w:r>
        <w:rPr>
          <w:color w:val="1E3A5F"/>
          <w:sz w:val="28"/>
        </w:rPr>
        <w:t>4.1 Skema Database Baru</w:t>
      </w:r>
    </w:p>
    <w:p>
      <w:pPr>
        <w:spacing w:after="60"/>
      </w:pPr>
      <w:r>
        <w:rPr>
          <w:b/>
          <w:i w:val="0"/>
          <w:color w:val="2E86AB"/>
          <w:sz w:val="21"/>
        </w:rPr>
        <w:t>Master Data</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1E3A5F"/>
          </w:tcPr>
          <w:p>
            <w:r/>
            <w:r>
              <w:rPr>
                <w:b/>
                <w:color w:val="FFFFFF"/>
                <w:sz w:val="19"/>
              </w:rPr>
              <w:t>Tabel</w:t>
            </w:r>
          </w:p>
        </w:tc>
        <w:tc>
          <w:tcPr>
            <w:tcW w:type="dxa" w:w="3969"/>
            <w:shd w:val="clear" w:color="auto" w:fill="1E3A5F"/>
          </w:tcPr>
          <w:p>
            <w:r/>
            <w:r>
              <w:rPr>
                <w:b/>
                <w:color w:val="FFFFFF"/>
                <w:sz w:val="19"/>
              </w:rPr>
              <w:t>Field Kunci</w:t>
            </w:r>
          </w:p>
        </w:tc>
        <w:tc>
          <w:tcPr>
            <w:tcW w:type="dxa" w:w="3118"/>
            <w:shd w:val="clear" w:color="auto" w:fill="1E3A5F"/>
          </w:tcPr>
          <w:p>
            <w:r/>
            <w:r>
              <w:rPr>
                <w:b/>
                <w:color w:val="FFFFFF"/>
                <w:sz w:val="19"/>
              </w:rPr>
              <w:t>Keterangan</w:t>
            </w:r>
          </w:p>
        </w:tc>
      </w:tr>
      <w:tr>
        <w:tc>
          <w:tcPr>
            <w:tcW w:type="dxa" w:w="1984"/>
          </w:tcPr>
          <w:p>
            <w:r/>
            <w:r>
              <w:rPr>
                <w:sz w:val="19"/>
              </w:rPr>
              <w:t>product_categories</w:t>
            </w:r>
          </w:p>
        </w:tc>
        <w:tc>
          <w:tcPr>
            <w:tcW w:type="dxa" w:w="3969"/>
          </w:tcPr>
          <w:p>
            <w:r/>
            <w:r>
              <w:rPr>
                <w:sz w:val="19"/>
              </w:rPr>
              <w:t>id, companyId, name</w:t>
            </w:r>
          </w:p>
        </w:tc>
        <w:tc>
          <w:tcPr>
            <w:tcW w:type="dxa" w:w="3118"/>
          </w:tcPr>
          <w:p>
            <w:r/>
            <w:r>
              <w:rPr>
                <w:sz w:val="19"/>
              </w:rPr>
              <w:t>Kategori barang</w:t>
            </w:r>
          </w:p>
        </w:tc>
      </w:tr>
      <w:tr>
        <w:tc>
          <w:tcPr>
            <w:tcW w:type="dxa" w:w="1984"/>
          </w:tcPr>
          <w:p>
            <w:r/>
            <w:r>
              <w:rPr>
                <w:sz w:val="19"/>
              </w:rPr>
              <w:t>units</w:t>
            </w:r>
          </w:p>
        </w:tc>
        <w:tc>
          <w:tcPr>
            <w:tcW w:type="dxa" w:w="3969"/>
          </w:tcPr>
          <w:p>
            <w:r/>
            <w:r>
              <w:rPr>
                <w:sz w:val="19"/>
              </w:rPr>
              <w:t>id, companyId, name, abbreviation</w:t>
            </w:r>
          </w:p>
        </w:tc>
        <w:tc>
          <w:tcPr>
            <w:tcW w:type="dxa" w:w="3118"/>
          </w:tcPr>
          <w:p>
            <w:r/>
            <w:r>
              <w:rPr>
                <w:sz w:val="19"/>
              </w:rPr>
              <w:t>Satuan (pcs, box, kg, dll)</w:t>
            </w:r>
          </w:p>
        </w:tc>
      </w:tr>
      <w:tr>
        <w:tc>
          <w:tcPr>
            <w:tcW w:type="dxa" w:w="1984"/>
          </w:tcPr>
          <w:p>
            <w:r/>
            <w:r>
              <w:rPr>
                <w:sz w:val="19"/>
              </w:rPr>
              <w:t>warehouses</w:t>
            </w:r>
          </w:p>
        </w:tc>
        <w:tc>
          <w:tcPr>
            <w:tcW w:type="dxa" w:w="3969"/>
          </w:tcPr>
          <w:p>
            <w:r/>
            <w:r>
              <w:rPr>
                <w:sz w:val="19"/>
              </w:rPr>
              <w:t>id, companyId, name, isDefault</w:t>
            </w:r>
          </w:p>
        </w:tc>
        <w:tc>
          <w:tcPr>
            <w:tcW w:type="dxa" w:w="3118"/>
          </w:tcPr>
          <w:p>
            <w:r/>
            <w:r>
              <w:rPr>
                <w:sz w:val="19"/>
              </w:rPr>
              <w:t>Gudang; default 1 baris auto-seed per company</w:t>
            </w:r>
          </w:p>
        </w:tc>
      </w:tr>
      <w:tr>
        <w:tc>
          <w:tcPr>
            <w:tcW w:type="dxa" w:w="1984"/>
          </w:tcPr>
          <w:p>
            <w:r/>
            <w:r>
              <w:rPr>
                <w:sz w:val="19"/>
              </w:rPr>
              <w:t>products</w:t>
            </w:r>
          </w:p>
        </w:tc>
        <w:tc>
          <w:tcPr>
            <w:tcW w:type="dxa" w:w="3969"/>
          </w:tcPr>
          <w:p>
            <w:r/>
            <w:r>
              <w:rPr>
                <w:sz w:val="19"/>
              </w:rPr>
              <w:t>id, companyId, sku, barcode, name, categoryId, unitId, purchasePrice, sellPrice, minStock, currentStock, avgCost, inventoryAccountId, cogsAccountId, salesAccountId, isActive</w:t>
            </w:r>
          </w:p>
        </w:tc>
        <w:tc>
          <w:tcPr>
            <w:tcW w:type="dxa" w:w="3118"/>
          </w:tcPr>
          <w:p>
            <w:r/>
            <w:r>
              <w:rPr>
                <w:sz w:val="19"/>
              </w:rPr>
              <w:t>Master barang dagang</w:t>
            </w:r>
          </w:p>
        </w:tc>
      </w:tr>
    </w:tbl>
    <w:p>
      <w:pPr>
        <w:spacing w:after="80"/>
      </w:pPr>
    </w:p>
    <w:p>
      <w:pPr>
        <w:spacing w:after="60"/>
      </w:pPr>
      <w:r>
        <w:rPr>
          <w:b/>
          <w:i w:val="0"/>
          <w:color w:val="2E86AB"/>
          <w:sz w:val="21"/>
        </w:rPr>
        <w:t>Persediaan</w:t>
      </w:r>
    </w:p>
    <w:tbl>
      <w:tblPr>
        <w:tblStyle w:val="TableGrid"/>
        <w:tblW w:type="auto" w:w="0"/>
        <w:jc w:val="center"/>
        <w:tblLook w:firstColumn="1" w:firstRow="1" w:lastColumn="0" w:lastRow="0" w:noHBand="0" w:noVBand="1" w:val="04A0"/>
      </w:tblPr>
      <w:tblGrid>
        <w:gridCol w:w="3249"/>
        <w:gridCol w:w="3249"/>
        <w:gridCol w:w="3249"/>
      </w:tblGrid>
      <w:tr>
        <w:tc>
          <w:tcPr>
            <w:tcW w:type="dxa" w:w="2154"/>
            <w:shd w:val="clear" w:color="auto" w:fill="1E3A5F"/>
          </w:tcPr>
          <w:p>
            <w:r/>
            <w:r>
              <w:rPr>
                <w:b/>
                <w:color w:val="FFFFFF"/>
                <w:sz w:val="19"/>
              </w:rPr>
              <w:t>Tabel</w:t>
            </w:r>
          </w:p>
        </w:tc>
        <w:tc>
          <w:tcPr>
            <w:tcW w:type="dxa" w:w="4252"/>
            <w:shd w:val="clear" w:color="auto" w:fill="1E3A5F"/>
          </w:tcPr>
          <w:p>
            <w:r/>
            <w:r>
              <w:rPr>
                <w:b/>
                <w:color w:val="FFFFFF"/>
                <w:sz w:val="19"/>
              </w:rPr>
              <w:t>Field Kunci</w:t>
            </w:r>
          </w:p>
        </w:tc>
        <w:tc>
          <w:tcPr>
            <w:tcW w:type="dxa" w:w="2665"/>
            <w:shd w:val="clear" w:color="auto" w:fill="1E3A5F"/>
          </w:tcPr>
          <w:p>
            <w:r/>
            <w:r>
              <w:rPr>
                <w:b/>
                <w:color w:val="FFFFFF"/>
                <w:sz w:val="19"/>
              </w:rPr>
              <w:t>Keterangan</w:t>
            </w:r>
          </w:p>
        </w:tc>
      </w:tr>
      <w:tr>
        <w:tc>
          <w:tcPr>
            <w:tcW w:type="dxa" w:w="2154"/>
          </w:tcPr>
          <w:p>
            <w:r/>
            <w:r>
              <w:rPr>
                <w:sz w:val="19"/>
              </w:rPr>
              <w:t>stock_ledger</w:t>
            </w:r>
          </w:p>
        </w:tc>
        <w:tc>
          <w:tcPr>
            <w:tcW w:type="dxa" w:w="4252"/>
          </w:tcPr>
          <w:p>
            <w:r/>
            <w:r>
              <w:rPr>
                <w:sz w:val="19"/>
              </w:rPr>
              <w:t>id, companyId, productId, warehouseId, date, refType, refId, qtyIn, qtyOut, unitCost, balanceQty, balanceValue</w:t>
            </w:r>
          </w:p>
        </w:tc>
        <w:tc>
          <w:tcPr>
            <w:tcW w:type="dxa" w:w="2665"/>
          </w:tcPr>
          <w:p>
            <w:r/>
            <w:r>
              <w:rPr>
                <w:sz w:val="19"/>
              </w:rPr>
              <w:t>Kartu stok — immutable audit trail, sumber HPP</w:t>
            </w:r>
          </w:p>
        </w:tc>
      </w:tr>
      <w:tr>
        <w:tc>
          <w:tcPr>
            <w:tcW w:type="dxa" w:w="2154"/>
          </w:tcPr>
          <w:p>
            <w:r/>
            <w:r>
              <w:rPr>
                <w:sz w:val="19"/>
              </w:rPr>
              <w:t>stock_adjustments</w:t>
            </w:r>
          </w:p>
        </w:tc>
        <w:tc>
          <w:tcPr>
            <w:tcW w:type="dxa" w:w="4252"/>
          </w:tcPr>
          <w:p>
            <w:r/>
            <w:r>
              <w:rPr>
                <w:sz w:val="19"/>
              </w:rPr>
              <w:t>id, companyId, warehouseId, date, reason, status, journalEntryId, createdById</w:t>
            </w:r>
          </w:p>
        </w:tc>
        <w:tc>
          <w:tcPr>
            <w:tcW w:type="dxa" w:w="2665"/>
          </w:tcPr>
          <w:p>
            <w:r/>
            <w:r>
              <w:rPr>
                <w:sz w:val="19"/>
              </w:rPr>
              <w:t>Header penyesuaian stok (opname)</w:t>
            </w:r>
          </w:p>
        </w:tc>
      </w:tr>
      <w:tr>
        <w:tc>
          <w:tcPr>
            <w:tcW w:type="dxa" w:w="2154"/>
          </w:tcPr>
          <w:p>
            <w:r/>
            <w:r>
              <w:rPr>
                <w:sz w:val="19"/>
              </w:rPr>
              <w:t>stock_adjustment_lines</w:t>
            </w:r>
          </w:p>
        </w:tc>
        <w:tc>
          <w:tcPr>
            <w:tcW w:type="dxa" w:w="4252"/>
          </w:tcPr>
          <w:p>
            <w:r/>
            <w:r>
              <w:rPr>
                <w:sz w:val="19"/>
              </w:rPr>
              <w:t>id, adjustmentId, productId, systemQty, actualQty, difference, unitCost</w:t>
            </w:r>
          </w:p>
        </w:tc>
        <w:tc>
          <w:tcPr>
            <w:tcW w:type="dxa" w:w="2665"/>
          </w:tcPr>
          <w:p>
            <w:r/>
            <w:r>
              <w:rPr>
                <w:sz w:val="19"/>
              </w:rPr>
              <w:t>Detail selisih per produk</w:t>
            </w:r>
          </w:p>
        </w:tc>
      </w:tr>
    </w:tbl>
    <w:p>
      <w:pPr>
        <w:spacing w:after="80"/>
      </w:pPr>
    </w:p>
    <w:p>
      <w:pPr>
        <w:spacing w:after="60"/>
      </w:pPr>
      <w:r>
        <w:rPr>
          <w:b/>
          <w:i w:val="0"/>
          <w:color w:val="2E86AB"/>
          <w:sz w:val="21"/>
        </w:rPr>
        <w:t>Pembelian</w:t>
      </w:r>
    </w:p>
    <w:tbl>
      <w:tblPr>
        <w:tblStyle w:val="TableGrid"/>
        <w:tblW w:type="auto" w:w="0"/>
        <w:jc w:val="center"/>
        <w:tblLook w:firstColumn="1" w:firstRow="1" w:lastColumn="0" w:lastRow="0" w:noHBand="0" w:noVBand="1" w:val="04A0"/>
      </w:tblPr>
      <w:tblGrid>
        <w:gridCol w:w="3249"/>
        <w:gridCol w:w="3249"/>
        <w:gridCol w:w="3249"/>
      </w:tblGrid>
      <w:tr>
        <w:tc>
          <w:tcPr>
            <w:tcW w:type="dxa" w:w="2154"/>
            <w:shd w:val="clear" w:color="auto" w:fill="1E3A5F"/>
          </w:tcPr>
          <w:p>
            <w:r/>
            <w:r>
              <w:rPr>
                <w:b/>
                <w:color w:val="FFFFFF"/>
                <w:sz w:val="19"/>
              </w:rPr>
              <w:t>Tabel</w:t>
            </w:r>
          </w:p>
        </w:tc>
        <w:tc>
          <w:tcPr>
            <w:tcW w:type="dxa" w:w="4252"/>
            <w:shd w:val="clear" w:color="auto" w:fill="1E3A5F"/>
          </w:tcPr>
          <w:p>
            <w:r/>
            <w:r>
              <w:rPr>
                <w:b/>
                <w:color w:val="FFFFFF"/>
                <w:sz w:val="19"/>
              </w:rPr>
              <w:t>Field Kunci</w:t>
            </w:r>
          </w:p>
        </w:tc>
        <w:tc>
          <w:tcPr>
            <w:tcW w:type="dxa" w:w="2665"/>
            <w:shd w:val="clear" w:color="auto" w:fill="1E3A5F"/>
          </w:tcPr>
          <w:p>
            <w:r/>
            <w:r>
              <w:rPr>
                <w:b/>
                <w:color w:val="FFFFFF"/>
                <w:sz w:val="19"/>
              </w:rPr>
              <w:t>Keterangan</w:t>
            </w:r>
          </w:p>
        </w:tc>
      </w:tr>
      <w:tr>
        <w:tc>
          <w:tcPr>
            <w:tcW w:type="dxa" w:w="2154"/>
          </w:tcPr>
          <w:p>
            <w:r/>
            <w:r>
              <w:rPr>
                <w:sz w:val="19"/>
              </w:rPr>
              <w:t>purchase_orders</w:t>
            </w:r>
          </w:p>
        </w:tc>
        <w:tc>
          <w:tcPr>
            <w:tcW w:type="dxa" w:w="4252"/>
          </w:tcPr>
          <w:p>
            <w:r/>
            <w:r>
              <w:rPr>
                <w:sz w:val="19"/>
              </w:rPr>
              <w:t>id, companyId, poNumber, vendorId, orderDate, expectedDate, status, createdById</w:t>
            </w:r>
          </w:p>
        </w:tc>
        <w:tc>
          <w:tcPr>
            <w:tcW w:type="dxa" w:w="2665"/>
          </w:tcPr>
          <w:p>
            <w:r/>
            <w:r>
              <w:rPr>
                <w:sz w:val="19"/>
              </w:rPr>
              <w:t>Header PO (DRAFT/ORDERED/PARTIAL/RECEIVED/CANCELLED)</w:t>
            </w:r>
          </w:p>
        </w:tc>
      </w:tr>
      <w:tr>
        <w:tc>
          <w:tcPr>
            <w:tcW w:type="dxa" w:w="2154"/>
          </w:tcPr>
          <w:p>
            <w:r/>
            <w:r>
              <w:rPr>
                <w:sz w:val="19"/>
              </w:rPr>
              <w:t>purchase_order_lines</w:t>
            </w:r>
          </w:p>
        </w:tc>
        <w:tc>
          <w:tcPr>
            <w:tcW w:type="dxa" w:w="4252"/>
          </w:tcPr>
          <w:p>
            <w:r/>
            <w:r>
              <w:rPr>
                <w:sz w:val="19"/>
              </w:rPr>
              <w:t>id, poId, productId, qtyOrdered, qtyReceived, unitPrice</w:t>
            </w:r>
          </w:p>
        </w:tc>
        <w:tc>
          <w:tcPr>
            <w:tcW w:type="dxa" w:w="2665"/>
          </w:tcPr>
          <w:p>
            <w:r/>
            <w:r>
              <w:rPr>
                <w:sz w:val="19"/>
              </w:rPr>
              <w:t>Detail item PO</w:t>
            </w:r>
          </w:p>
        </w:tc>
      </w:tr>
      <w:tr>
        <w:tc>
          <w:tcPr>
            <w:tcW w:type="dxa" w:w="2154"/>
          </w:tcPr>
          <w:p>
            <w:r/>
            <w:r>
              <w:rPr>
                <w:sz w:val="19"/>
              </w:rPr>
              <w:t>goods_receipts</w:t>
            </w:r>
          </w:p>
        </w:tc>
        <w:tc>
          <w:tcPr>
            <w:tcW w:type="dxa" w:w="4252"/>
          </w:tcPr>
          <w:p>
            <w:r/>
            <w:r>
              <w:rPr>
                <w:sz w:val="19"/>
              </w:rPr>
              <w:t>id, companyId, receiptNumber, poId (nullable), vendorId, warehouseId, receiptDate, status, journalEntryId, createdById</w:t>
            </w:r>
          </w:p>
        </w:tc>
        <w:tc>
          <w:tcPr>
            <w:tcW w:type="dxa" w:w="2665"/>
          </w:tcPr>
          <w:p>
            <w:r/>
            <w:r>
              <w:rPr>
                <w:sz w:val="19"/>
              </w:rPr>
              <w:t>Penerimaan barang; posting = stok+jurnal AP</w:t>
            </w:r>
          </w:p>
        </w:tc>
      </w:tr>
      <w:tr>
        <w:tc>
          <w:tcPr>
            <w:tcW w:type="dxa" w:w="2154"/>
          </w:tcPr>
          <w:p>
            <w:r/>
            <w:r>
              <w:rPr>
                <w:sz w:val="19"/>
              </w:rPr>
              <w:t>goods_receipt_lines</w:t>
            </w:r>
          </w:p>
        </w:tc>
        <w:tc>
          <w:tcPr>
            <w:tcW w:type="dxa" w:w="4252"/>
          </w:tcPr>
          <w:p>
            <w:r/>
            <w:r>
              <w:rPr>
                <w:sz w:val="19"/>
              </w:rPr>
              <w:t>id, receiptId, productId, qty, unitCost</w:t>
            </w:r>
          </w:p>
        </w:tc>
        <w:tc>
          <w:tcPr>
            <w:tcW w:type="dxa" w:w="2665"/>
          </w:tcPr>
          <w:p>
            <w:r/>
            <w:r>
              <w:rPr>
                <w:sz w:val="19"/>
              </w:rPr>
              <w:t>Detail item diterima</w:t>
            </w:r>
          </w:p>
        </w:tc>
      </w:tr>
      <w:tr>
        <w:tc>
          <w:tcPr>
            <w:tcW w:type="dxa" w:w="2154"/>
          </w:tcPr>
          <w:p>
            <w:r/>
            <w:r>
              <w:rPr>
                <w:sz w:val="19"/>
              </w:rPr>
              <w:t>purchase_payments</w:t>
            </w:r>
          </w:p>
        </w:tc>
        <w:tc>
          <w:tcPr>
            <w:tcW w:type="dxa" w:w="4252"/>
          </w:tcPr>
          <w:p>
            <w:r/>
            <w:r>
              <w:rPr>
                <w:sz w:val="19"/>
              </w:rPr>
              <w:t>id, companyId, receiptId, paymentDate, amount, accountId, journalEntryId</w:t>
            </w:r>
          </w:p>
        </w:tc>
        <w:tc>
          <w:tcPr>
            <w:tcW w:type="dxa" w:w="2665"/>
          </w:tcPr>
          <w:p>
            <w:r/>
            <w:r>
              <w:rPr>
                <w:sz w:val="19"/>
              </w:rPr>
              <w:t>Pelunasan hutang ke supplier</w:t>
            </w:r>
          </w:p>
        </w:tc>
      </w:tr>
    </w:tbl>
    <w:p>
      <w:pPr>
        <w:spacing w:after="80"/>
      </w:pPr>
    </w:p>
    <w:p>
      <w:pPr>
        <w:spacing w:after="60"/>
      </w:pPr>
      <w:r>
        <w:rPr>
          <w:b/>
          <w:i w:val="0"/>
          <w:color w:val="2E86AB"/>
          <w:sz w:val="21"/>
        </w:rPr>
        <w:t>Penjualan &amp; POS</w:t>
      </w:r>
    </w:p>
    <w:tbl>
      <w:tblPr>
        <w:tblStyle w:val="TableGrid"/>
        <w:tblW w:type="auto" w:w="0"/>
        <w:jc w:val="center"/>
        <w:tblLook w:firstColumn="1" w:firstRow="1" w:lastColumn="0" w:lastRow="0" w:noHBand="0" w:noVBand="1" w:val="04A0"/>
      </w:tblPr>
      <w:tblGrid>
        <w:gridCol w:w="3249"/>
        <w:gridCol w:w="3249"/>
        <w:gridCol w:w="3249"/>
      </w:tblGrid>
      <w:tr>
        <w:tc>
          <w:tcPr>
            <w:tcW w:type="dxa" w:w="2154"/>
            <w:shd w:val="clear" w:color="auto" w:fill="1E3A5F"/>
          </w:tcPr>
          <w:p>
            <w:r/>
            <w:r>
              <w:rPr>
                <w:b/>
                <w:color w:val="FFFFFF"/>
                <w:sz w:val="19"/>
              </w:rPr>
              <w:t>Tabel</w:t>
            </w:r>
          </w:p>
        </w:tc>
        <w:tc>
          <w:tcPr>
            <w:tcW w:type="dxa" w:w="4252"/>
            <w:shd w:val="clear" w:color="auto" w:fill="1E3A5F"/>
          </w:tcPr>
          <w:p>
            <w:r/>
            <w:r>
              <w:rPr>
                <w:b/>
                <w:color w:val="FFFFFF"/>
                <w:sz w:val="19"/>
              </w:rPr>
              <w:t>Field Kunci</w:t>
            </w:r>
          </w:p>
        </w:tc>
        <w:tc>
          <w:tcPr>
            <w:tcW w:type="dxa" w:w="2665"/>
            <w:shd w:val="clear" w:color="auto" w:fill="1E3A5F"/>
          </w:tcPr>
          <w:p>
            <w:r/>
            <w:r>
              <w:rPr>
                <w:b/>
                <w:color w:val="FFFFFF"/>
                <w:sz w:val="19"/>
              </w:rPr>
              <w:t>Keterangan</w:t>
            </w:r>
          </w:p>
        </w:tc>
      </w:tr>
      <w:tr>
        <w:tc>
          <w:tcPr>
            <w:tcW w:type="dxa" w:w="2154"/>
          </w:tcPr>
          <w:p>
            <w:r/>
            <w:r>
              <w:rPr>
                <w:sz w:val="19"/>
              </w:rPr>
              <w:t>sales_invoices</w:t>
            </w:r>
          </w:p>
        </w:tc>
        <w:tc>
          <w:tcPr>
            <w:tcW w:type="dxa" w:w="4252"/>
          </w:tcPr>
          <w:p>
            <w:r/>
            <w:r>
              <w:rPr>
                <w:sz w:val="19"/>
              </w:rPr>
              <w:t>id, companyId, invoiceNumber, customerId, warehouseId, invoiceDate, dueDate, status, subtotal, discount, tax, total, paidAmount, journalEntryId, createdById</w:t>
            </w:r>
          </w:p>
        </w:tc>
        <w:tc>
          <w:tcPr>
            <w:tcW w:type="dxa" w:w="2665"/>
          </w:tcPr>
          <w:p>
            <w:r/>
            <w:r>
              <w:rPr>
                <w:sz w:val="19"/>
              </w:rPr>
              <w:t>Header faktur B2B</w:t>
            </w:r>
          </w:p>
        </w:tc>
      </w:tr>
      <w:tr>
        <w:tc>
          <w:tcPr>
            <w:tcW w:type="dxa" w:w="2154"/>
          </w:tcPr>
          <w:p>
            <w:r/>
            <w:r>
              <w:rPr>
                <w:sz w:val="19"/>
              </w:rPr>
              <w:t>sales_invoice_lines</w:t>
            </w:r>
          </w:p>
        </w:tc>
        <w:tc>
          <w:tcPr>
            <w:tcW w:type="dxa" w:w="4252"/>
          </w:tcPr>
          <w:p>
            <w:r/>
            <w:r>
              <w:rPr>
                <w:sz w:val="19"/>
              </w:rPr>
              <w:t>id, invoiceId, productId, qty, unitPrice, discount, unitCost, lineTotal</w:t>
            </w:r>
          </w:p>
        </w:tc>
        <w:tc>
          <w:tcPr>
            <w:tcW w:type="dxa" w:w="2665"/>
          </w:tcPr>
          <w:p>
            <w:r/>
            <w:r>
              <w:rPr>
                <w:sz w:val="19"/>
              </w:rPr>
              <w:t>Detail item faktur (unitCost = snapshot HPP saat posting)</w:t>
            </w:r>
          </w:p>
        </w:tc>
      </w:tr>
      <w:tr>
        <w:tc>
          <w:tcPr>
            <w:tcW w:type="dxa" w:w="2154"/>
          </w:tcPr>
          <w:p>
            <w:r/>
            <w:r>
              <w:rPr>
                <w:sz w:val="19"/>
              </w:rPr>
              <w:t>sales_payments</w:t>
            </w:r>
          </w:p>
        </w:tc>
        <w:tc>
          <w:tcPr>
            <w:tcW w:type="dxa" w:w="4252"/>
          </w:tcPr>
          <w:p>
            <w:r/>
            <w:r>
              <w:rPr>
                <w:sz w:val="19"/>
              </w:rPr>
              <w:t>id, companyId, invoiceId, paymentDate, amount, accountId, journalEntryId</w:t>
            </w:r>
          </w:p>
        </w:tc>
        <w:tc>
          <w:tcPr>
            <w:tcW w:type="dxa" w:w="2665"/>
          </w:tcPr>
          <w:p>
            <w:r/>
            <w:r>
              <w:rPr>
                <w:sz w:val="19"/>
              </w:rPr>
              <w:t>Pelunasan piutang dari customer</w:t>
            </w:r>
          </w:p>
        </w:tc>
      </w:tr>
      <w:tr>
        <w:tc>
          <w:tcPr>
            <w:tcW w:type="dxa" w:w="2154"/>
          </w:tcPr>
          <w:p>
            <w:r/>
            <w:r>
              <w:rPr>
                <w:sz w:val="19"/>
              </w:rPr>
              <w:t>pos_shifts</w:t>
            </w:r>
          </w:p>
        </w:tc>
        <w:tc>
          <w:tcPr>
            <w:tcW w:type="dxa" w:w="4252"/>
          </w:tcPr>
          <w:p>
            <w:r/>
            <w:r>
              <w:rPr>
                <w:sz w:val="19"/>
              </w:rPr>
              <w:t>id, companyId, cashierUserId, warehouseId, openedAt, closedAt, openingCash, closingCash, status</w:t>
            </w:r>
          </w:p>
        </w:tc>
        <w:tc>
          <w:tcPr>
            <w:tcW w:type="dxa" w:w="2665"/>
          </w:tcPr>
          <w:p>
            <w:r/>
            <w:r>
              <w:rPr>
                <w:sz w:val="19"/>
              </w:rPr>
              <w:t>Sesi kasir</w:t>
            </w:r>
          </w:p>
        </w:tc>
      </w:tr>
      <w:tr>
        <w:tc>
          <w:tcPr>
            <w:tcW w:type="dxa" w:w="2154"/>
          </w:tcPr>
          <w:p>
            <w:r/>
            <w:r>
              <w:rPr>
                <w:sz w:val="19"/>
              </w:rPr>
              <w:t>pos_transactions</w:t>
            </w:r>
          </w:p>
        </w:tc>
        <w:tc>
          <w:tcPr>
            <w:tcW w:type="dxa" w:w="4252"/>
          </w:tcPr>
          <w:p>
            <w:r/>
            <w:r>
              <w:rPr>
                <w:sz w:val="19"/>
              </w:rPr>
              <w:t>id, companyId, shiftId, transactionNumber, warehouseId, cashierUserId, customerId (nullable), subtotal, discount, tax, total, paymentMethod, paidAmount, changeAmount, status, journalEntryId</w:t>
            </w:r>
          </w:p>
        </w:tc>
        <w:tc>
          <w:tcPr>
            <w:tcW w:type="dxa" w:w="2665"/>
          </w:tcPr>
          <w:p>
            <w:r/>
            <w:r>
              <w:rPr>
                <w:sz w:val="19"/>
              </w:rPr>
              <w:t>Transaksi kasir (final saat checkout)</w:t>
            </w:r>
          </w:p>
        </w:tc>
      </w:tr>
      <w:tr>
        <w:tc>
          <w:tcPr>
            <w:tcW w:type="dxa" w:w="2154"/>
          </w:tcPr>
          <w:p>
            <w:r/>
            <w:r>
              <w:rPr>
                <w:sz w:val="19"/>
              </w:rPr>
              <w:t>pos_transaction_lines</w:t>
            </w:r>
          </w:p>
        </w:tc>
        <w:tc>
          <w:tcPr>
            <w:tcW w:type="dxa" w:w="4252"/>
          </w:tcPr>
          <w:p>
            <w:r/>
            <w:r>
              <w:rPr>
                <w:sz w:val="19"/>
              </w:rPr>
              <w:t>id, transactionId, productId, qty, unitPrice, discount, unitCost, lineTotal</w:t>
            </w:r>
          </w:p>
        </w:tc>
        <w:tc>
          <w:tcPr>
            <w:tcW w:type="dxa" w:w="2665"/>
          </w:tcPr>
          <w:p>
            <w:r/>
            <w:r>
              <w:rPr>
                <w:sz w:val="19"/>
              </w:rPr>
              <w:t>Detail item transaksi POS</w:t>
            </w:r>
          </w:p>
        </w:tc>
      </w:tr>
    </w:tbl>
    <w:p>
      <w:pPr>
        <w:spacing w:after="80"/>
      </w:pPr>
    </w:p>
    <w:p>
      <w:pPr>
        <w:pStyle w:val="Heading2"/>
      </w:pPr>
      <w:r>
        <w:rPr>
          <w:color w:val="1E3A5F"/>
          <w:sz w:val="28"/>
        </w:rPr>
        <w:t>4.2 Integrasi Jurnal Otomatis</w:t>
      </w:r>
    </w:p>
    <w:p>
      <w:pPr>
        <w:spacing w:after="120"/>
      </w:pPr>
      <w:r>
        <w:rPr>
          <w:b w:val="0"/>
          <w:i w:val="0"/>
          <w:sz w:val="21"/>
        </w:rPr>
        <w:t>Setiap event bisnis memicu jurnal yang di-generate otomatis lewat fungsi create-journal yang sama dengan journalsController.create() yang sudah ada (reuse, bukan bikin ulang):</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E3A5F"/>
          </w:tcPr>
          <w:p>
            <w:r/>
            <w:r>
              <w:rPr>
                <w:b/>
                <w:color w:val="FFFFFF"/>
                <w:sz w:val="19"/>
              </w:rPr>
              <w:t>Event</w:t>
            </w:r>
          </w:p>
        </w:tc>
        <w:tc>
          <w:tcPr>
            <w:tcW w:type="dxa" w:w="2835"/>
            <w:shd w:val="clear" w:color="auto" w:fill="1E3A5F"/>
          </w:tcPr>
          <w:p>
            <w:r/>
            <w:r>
              <w:rPr>
                <w:b/>
                <w:color w:val="FFFFFF"/>
                <w:sz w:val="19"/>
              </w:rPr>
              <w:t>Jurnal Debit</w:t>
            </w:r>
          </w:p>
        </w:tc>
        <w:tc>
          <w:tcPr>
            <w:tcW w:type="dxa" w:w="3402"/>
            <w:shd w:val="clear" w:color="auto" w:fill="1E3A5F"/>
          </w:tcPr>
          <w:p>
            <w:r/>
            <w:r>
              <w:rPr>
                <w:b/>
                <w:color w:val="FFFFFF"/>
                <w:sz w:val="19"/>
              </w:rPr>
              <w:t>Jurnal Kredit</w:t>
            </w:r>
          </w:p>
        </w:tc>
      </w:tr>
      <w:tr>
        <w:tc>
          <w:tcPr>
            <w:tcW w:type="dxa" w:w="2835"/>
          </w:tcPr>
          <w:p>
            <w:r/>
            <w:r>
              <w:rPr>
                <w:sz w:val="19"/>
              </w:rPr>
              <w:t>Penerimaan Barang diposting</w:t>
            </w:r>
          </w:p>
        </w:tc>
        <w:tc>
          <w:tcPr>
            <w:tcW w:type="dxa" w:w="2835"/>
          </w:tcPr>
          <w:p>
            <w:r/>
            <w:r>
              <w:rPr>
                <w:sz w:val="19"/>
              </w:rPr>
              <w:t>Persediaan Barang Dagang</w:t>
            </w:r>
          </w:p>
        </w:tc>
        <w:tc>
          <w:tcPr>
            <w:tcW w:type="dxa" w:w="3402"/>
          </w:tcPr>
          <w:p>
            <w:r/>
            <w:r>
              <w:rPr>
                <w:sz w:val="19"/>
              </w:rPr>
              <w:t>Hutang Usaha</w:t>
            </w:r>
          </w:p>
        </w:tc>
      </w:tr>
      <w:tr>
        <w:tc>
          <w:tcPr>
            <w:tcW w:type="dxa" w:w="2835"/>
          </w:tcPr>
          <w:p>
            <w:r/>
            <w:r>
              <w:rPr>
                <w:sz w:val="19"/>
              </w:rPr>
              <w:t>Pembayaran Hutang</w:t>
            </w:r>
          </w:p>
        </w:tc>
        <w:tc>
          <w:tcPr>
            <w:tcW w:type="dxa" w:w="2835"/>
          </w:tcPr>
          <w:p>
            <w:r/>
            <w:r>
              <w:rPr>
                <w:sz w:val="19"/>
              </w:rPr>
              <w:t>Hutang Usaha</w:t>
            </w:r>
          </w:p>
        </w:tc>
        <w:tc>
          <w:tcPr>
            <w:tcW w:type="dxa" w:w="3402"/>
          </w:tcPr>
          <w:p>
            <w:r/>
            <w:r>
              <w:rPr>
                <w:sz w:val="19"/>
              </w:rPr>
              <w:t>Kas/Bank</w:t>
            </w:r>
          </w:p>
        </w:tc>
      </w:tr>
      <w:tr>
        <w:tc>
          <w:tcPr>
            <w:tcW w:type="dxa" w:w="2835"/>
          </w:tcPr>
          <w:p>
            <w:r/>
            <w:r>
              <w:rPr>
                <w:sz w:val="19"/>
              </w:rPr>
              <w:t>Faktur Penjualan diposting</w:t>
            </w:r>
          </w:p>
        </w:tc>
        <w:tc>
          <w:tcPr>
            <w:tcW w:type="dxa" w:w="2835"/>
          </w:tcPr>
          <w:p>
            <w:r/>
            <w:r>
              <w:rPr>
                <w:sz w:val="19"/>
              </w:rPr>
              <w:t>Piutang Usaha</w:t>
            </w:r>
          </w:p>
        </w:tc>
        <w:tc>
          <w:tcPr>
            <w:tcW w:type="dxa" w:w="3402"/>
          </w:tcPr>
          <w:p>
            <w:r/>
            <w:r>
              <w:rPr>
                <w:sz w:val="19"/>
              </w:rPr>
              <w:t>Pendapatan Penjualan (+PPN Keluaran jika ada)</w:t>
            </w:r>
          </w:p>
        </w:tc>
      </w:tr>
      <w:tr>
        <w:tc>
          <w:tcPr>
            <w:tcW w:type="dxa" w:w="2835"/>
          </w:tcPr>
          <w:p>
            <w:r/>
            <w:r>
              <w:rPr>
                <w:sz w:val="19"/>
              </w:rPr>
              <w:t>— (baris ke-2, sama transaksi)</w:t>
            </w:r>
          </w:p>
        </w:tc>
        <w:tc>
          <w:tcPr>
            <w:tcW w:type="dxa" w:w="2835"/>
          </w:tcPr>
          <w:p>
            <w:r/>
            <w:r>
              <w:rPr>
                <w:sz w:val="19"/>
              </w:rPr>
              <w:t>Harga Pokok Penjualan (HPP)</w:t>
            </w:r>
          </w:p>
        </w:tc>
        <w:tc>
          <w:tcPr>
            <w:tcW w:type="dxa" w:w="3402"/>
          </w:tcPr>
          <w:p>
            <w:r/>
            <w:r>
              <w:rPr>
                <w:sz w:val="19"/>
              </w:rPr>
              <w:t>Persediaan Barang Dagang</w:t>
            </w:r>
          </w:p>
        </w:tc>
      </w:tr>
      <w:tr>
        <w:tc>
          <w:tcPr>
            <w:tcW w:type="dxa" w:w="2835"/>
          </w:tcPr>
          <w:p>
            <w:r/>
            <w:r>
              <w:rPr>
                <w:sz w:val="19"/>
              </w:rPr>
              <w:t>Pelunasan Piutang</w:t>
            </w:r>
          </w:p>
        </w:tc>
        <w:tc>
          <w:tcPr>
            <w:tcW w:type="dxa" w:w="2835"/>
          </w:tcPr>
          <w:p>
            <w:r/>
            <w:r>
              <w:rPr>
                <w:sz w:val="19"/>
              </w:rPr>
              <w:t>Kas/Bank</w:t>
            </w:r>
          </w:p>
        </w:tc>
        <w:tc>
          <w:tcPr>
            <w:tcW w:type="dxa" w:w="3402"/>
          </w:tcPr>
          <w:p>
            <w:r/>
            <w:r>
              <w:rPr>
                <w:sz w:val="19"/>
              </w:rPr>
              <w:t>Piutang Usaha</w:t>
            </w:r>
          </w:p>
        </w:tc>
      </w:tr>
      <w:tr>
        <w:tc>
          <w:tcPr>
            <w:tcW w:type="dxa" w:w="2835"/>
          </w:tcPr>
          <w:p>
            <w:r/>
            <w:r>
              <w:rPr>
                <w:sz w:val="19"/>
              </w:rPr>
              <w:t>Transaksi POS checkout</w:t>
            </w:r>
          </w:p>
        </w:tc>
        <w:tc>
          <w:tcPr>
            <w:tcW w:type="dxa" w:w="2835"/>
          </w:tcPr>
          <w:p>
            <w:r/>
            <w:r>
              <w:rPr>
                <w:sz w:val="19"/>
              </w:rPr>
              <w:t>Kas/Bank (sesuai metode bayar)</w:t>
            </w:r>
          </w:p>
        </w:tc>
        <w:tc>
          <w:tcPr>
            <w:tcW w:type="dxa" w:w="3402"/>
          </w:tcPr>
          <w:p>
            <w:r/>
            <w:r>
              <w:rPr>
                <w:sz w:val="19"/>
              </w:rPr>
              <w:t>Pendapatan Penjualan (+PPN Keluaran jika ada)</w:t>
            </w:r>
          </w:p>
        </w:tc>
      </w:tr>
      <w:tr>
        <w:tc>
          <w:tcPr>
            <w:tcW w:type="dxa" w:w="2835"/>
          </w:tcPr>
          <w:p>
            <w:r/>
            <w:r>
              <w:rPr>
                <w:sz w:val="19"/>
              </w:rPr>
              <w:t>— (baris ke-2, sama transaksi)</w:t>
            </w:r>
          </w:p>
        </w:tc>
        <w:tc>
          <w:tcPr>
            <w:tcW w:type="dxa" w:w="2835"/>
          </w:tcPr>
          <w:p>
            <w:r/>
            <w:r>
              <w:rPr>
                <w:sz w:val="19"/>
              </w:rPr>
              <w:t>Harga Pokok Penjualan (HPP)</w:t>
            </w:r>
          </w:p>
        </w:tc>
        <w:tc>
          <w:tcPr>
            <w:tcW w:type="dxa" w:w="3402"/>
          </w:tcPr>
          <w:p>
            <w:r/>
            <w:r>
              <w:rPr>
                <w:sz w:val="19"/>
              </w:rPr>
              <w:t>Persediaan Barang Dagang</w:t>
            </w:r>
          </w:p>
        </w:tc>
      </w:tr>
      <w:tr>
        <w:tc>
          <w:tcPr>
            <w:tcW w:type="dxa" w:w="2835"/>
          </w:tcPr>
          <w:p>
            <w:r/>
            <w:r>
              <w:rPr>
                <w:sz w:val="19"/>
              </w:rPr>
              <w:t>Penyesuaian Stok (selisih kurang)</w:t>
            </w:r>
          </w:p>
        </w:tc>
        <w:tc>
          <w:tcPr>
            <w:tcW w:type="dxa" w:w="2835"/>
          </w:tcPr>
          <w:p>
            <w:r/>
            <w:r>
              <w:rPr>
                <w:sz w:val="19"/>
              </w:rPr>
              <w:t>Beban Selisih Stok</w:t>
            </w:r>
          </w:p>
        </w:tc>
        <w:tc>
          <w:tcPr>
            <w:tcW w:type="dxa" w:w="3402"/>
          </w:tcPr>
          <w:p>
            <w:r/>
            <w:r>
              <w:rPr>
                <w:sz w:val="19"/>
              </w:rPr>
              <w:t>Persediaan Barang Dagang</w:t>
            </w:r>
          </w:p>
        </w:tc>
      </w:tr>
      <w:tr>
        <w:tc>
          <w:tcPr>
            <w:tcW w:type="dxa" w:w="2835"/>
          </w:tcPr>
          <w:p>
            <w:r/>
            <w:r>
              <w:rPr>
                <w:sz w:val="19"/>
              </w:rPr>
              <w:t>Penyesuaian Stok (selisih lebih)</w:t>
            </w:r>
          </w:p>
        </w:tc>
        <w:tc>
          <w:tcPr>
            <w:tcW w:type="dxa" w:w="2835"/>
          </w:tcPr>
          <w:p>
            <w:r/>
            <w:r>
              <w:rPr>
                <w:sz w:val="19"/>
              </w:rPr>
              <w:t>Persediaan Barang Dagang</w:t>
            </w:r>
          </w:p>
        </w:tc>
        <w:tc>
          <w:tcPr>
            <w:tcW w:type="dxa" w:w="3402"/>
          </w:tcPr>
          <w:p>
            <w:r/>
            <w:r>
              <w:rPr>
                <w:sz w:val="19"/>
              </w:rPr>
              <w:t>Beban Selisih Stok</w:t>
            </w:r>
          </w:p>
        </w:tc>
      </w:tr>
    </w:tbl>
    <w:p>
      <w:pPr>
        <w:spacing w:after="80"/>
      </w:pPr>
    </w:p>
    <w:p>
      <w:pPr>
        <w:spacing w:after="120"/>
      </w:pPr>
      <w:r>
        <w:rPr>
          <w:b w:val="0"/>
          <w:i w:val="0"/>
          <w:sz w:val="21"/>
        </w:rPr>
        <w:t>Setiap transaksi POS/Faktur/Penerimaan Barang yang diposting akan membuat 1 journalEntries record berstatus POSTED secara otomatis (bukan draft yang perlu di-approve manual di Jurnal Umum), dengan referenceNumber mengikuti nomor dokumen sumber (mis. INV-2026-0001, POS-2026-0001) agar mudah ditelusuri dari Jurnal Umum.</w:t>
      </w:r>
    </w:p>
    <w:p>
      <w:pPr>
        <w:pStyle w:val="Heading2"/>
      </w:pPr>
      <w:r>
        <w:rPr>
          <w:color w:val="1E3A5F"/>
          <w:sz w:val="28"/>
        </w:rPr>
        <w:t>4.3 Chart of Account (COA) Baru yang Perlu Ditambahkan</w:t>
      </w:r>
    </w:p>
    <w:p>
      <w:pPr>
        <w:spacing w:after="120"/>
      </w:pPr>
      <w:r>
        <w:rPr>
          <w:b w:val="0"/>
          <w:i w:val="0"/>
          <w:sz w:val="21"/>
        </w:rPr>
        <w:t>Akun-akun ini perlu di-seed otomatis saat modul diaktifkan (mirip pola akun default saat onboarding):</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E3A5F"/>
          </w:tcPr>
          <w:p>
            <w:r/>
            <w:r>
              <w:rPr>
                <w:b/>
                <w:color w:val="FFFFFF"/>
                <w:sz w:val="19"/>
              </w:rPr>
              <w:t>Kode (usulan)</w:t>
            </w:r>
          </w:p>
        </w:tc>
        <w:tc>
          <w:tcPr>
            <w:tcW w:type="dxa" w:w="4535"/>
            <w:shd w:val="clear" w:color="auto" w:fill="1E3A5F"/>
          </w:tcPr>
          <w:p>
            <w:r/>
            <w:r>
              <w:rPr>
                <w:b/>
                <w:color w:val="FFFFFF"/>
                <w:sz w:val="19"/>
              </w:rPr>
              <w:t>Nama Akun</w:t>
            </w:r>
          </w:p>
        </w:tc>
        <w:tc>
          <w:tcPr>
            <w:tcW w:type="dxa" w:w="2835"/>
            <w:shd w:val="clear" w:color="auto" w:fill="1E3A5F"/>
          </w:tcPr>
          <w:p>
            <w:r/>
            <w:r>
              <w:rPr>
                <w:b/>
                <w:color w:val="FFFFFF"/>
                <w:sz w:val="19"/>
              </w:rPr>
              <w:t>Tipe</w:t>
            </w:r>
          </w:p>
        </w:tc>
      </w:tr>
      <w:tr>
        <w:tc>
          <w:tcPr>
            <w:tcW w:type="dxa" w:w="1701"/>
          </w:tcPr>
          <w:p>
            <w:r/>
            <w:r>
              <w:rPr>
                <w:sz w:val="19"/>
              </w:rPr>
              <w:t>1-1300</w:t>
            </w:r>
          </w:p>
        </w:tc>
        <w:tc>
          <w:tcPr>
            <w:tcW w:type="dxa" w:w="4535"/>
          </w:tcPr>
          <w:p>
            <w:r/>
            <w:r>
              <w:rPr>
                <w:sz w:val="19"/>
              </w:rPr>
              <w:t>Persediaan Barang Dagang</w:t>
            </w:r>
          </w:p>
        </w:tc>
        <w:tc>
          <w:tcPr>
            <w:tcW w:type="dxa" w:w="2835"/>
          </w:tcPr>
          <w:p>
            <w:r/>
            <w:r>
              <w:rPr>
                <w:sz w:val="19"/>
              </w:rPr>
              <w:t>ASSET</w:t>
            </w:r>
          </w:p>
        </w:tc>
      </w:tr>
      <w:tr>
        <w:tc>
          <w:tcPr>
            <w:tcW w:type="dxa" w:w="1701"/>
          </w:tcPr>
          <w:p>
            <w:r/>
            <w:r>
              <w:rPr>
                <w:sz w:val="19"/>
              </w:rPr>
              <w:t>1-1200</w:t>
            </w:r>
          </w:p>
        </w:tc>
        <w:tc>
          <w:tcPr>
            <w:tcW w:type="dxa" w:w="4535"/>
          </w:tcPr>
          <w:p>
            <w:r/>
            <w:r>
              <w:rPr>
                <w:sz w:val="19"/>
              </w:rPr>
              <w:t>Piutang Usaha</w:t>
            </w:r>
          </w:p>
        </w:tc>
        <w:tc>
          <w:tcPr>
            <w:tcW w:type="dxa" w:w="2835"/>
          </w:tcPr>
          <w:p>
            <w:r/>
            <w:r>
              <w:rPr>
                <w:sz w:val="19"/>
              </w:rPr>
              <w:t>ASSET (cek dulu — kemungkinan sudah ada)</w:t>
            </w:r>
          </w:p>
        </w:tc>
      </w:tr>
      <w:tr>
        <w:tc>
          <w:tcPr>
            <w:tcW w:type="dxa" w:w="1701"/>
          </w:tcPr>
          <w:p>
            <w:r/>
            <w:r>
              <w:rPr>
                <w:sz w:val="19"/>
              </w:rPr>
              <w:t>2-1100</w:t>
            </w:r>
          </w:p>
        </w:tc>
        <w:tc>
          <w:tcPr>
            <w:tcW w:type="dxa" w:w="4535"/>
          </w:tcPr>
          <w:p>
            <w:r/>
            <w:r>
              <w:rPr>
                <w:sz w:val="19"/>
              </w:rPr>
              <w:t>Hutang Usaha</w:t>
            </w:r>
          </w:p>
        </w:tc>
        <w:tc>
          <w:tcPr>
            <w:tcW w:type="dxa" w:w="2835"/>
          </w:tcPr>
          <w:p>
            <w:r/>
            <w:r>
              <w:rPr>
                <w:sz w:val="19"/>
              </w:rPr>
              <w:t>LIABILITY (cek dulu — kemungkinan sudah ada)</w:t>
            </w:r>
          </w:p>
        </w:tc>
      </w:tr>
      <w:tr>
        <w:tc>
          <w:tcPr>
            <w:tcW w:type="dxa" w:w="1701"/>
          </w:tcPr>
          <w:p>
            <w:r/>
            <w:r>
              <w:rPr>
                <w:sz w:val="19"/>
              </w:rPr>
              <w:t>2-1500</w:t>
            </w:r>
          </w:p>
        </w:tc>
        <w:tc>
          <w:tcPr>
            <w:tcW w:type="dxa" w:w="4535"/>
          </w:tcPr>
          <w:p>
            <w:r/>
            <w:r>
              <w:rPr>
                <w:sz w:val="19"/>
              </w:rPr>
              <w:t>PPN Keluaran</w:t>
            </w:r>
          </w:p>
        </w:tc>
        <w:tc>
          <w:tcPr>
            <w:tcW w:type="dxa" w:w="2835"/>
          </w:tcPr>
          <w:p>
            <w:r/>
            <w:r>
              <w:rPr>
                <w:sz w:val="19"/>
              </w:rPr>
              <w:t>LIABILITY</w:t>
            </w:r>
          </w:p>
        </w:tc>
      </w:tr>
      <w:tr>
        <w:tc>
          <w:tcPr>
            <w:tcW w:type="dxa" w:w="1701"/>
          </w:tcPr>
          <w:p>
            <w:r/>
            <w:r>
              <w:rPr>
                <w:sz w:val="19"/>
              </w:rPr>
              <w:t>1-1600</w:t>
            </w:r>
          </w:p>
        </w:tc>
        <w:tc>
          <w:tcPr>
            <w:tcW w:type="dxa" w:w="4535"/>
          </w:tcPr>
          <w:p>
            <w:r/>
            <w:r>
              <w:rPr>
                <w:sz w:val="19"/>
              </w:rPr>
              <w:t>PPN Masukan</w:t>
            </w:r>
          </w:p>
        </w:tc>
        <w:tc>
          <w:tcPr>
            <w:tcW w:type="dxa" w:w="2835"/>
          </w:tcPr>
          <w:p>
            <w:r/>
            <w:r>
              <w:rPr>
                <w:sz w:val="19"/>
              </w:rPr>
              <w:t>ASSET</w:t>
            </w:r>
          </w:p>
        </w:tc>
      </w:tr>
      <w:tr>
        <w:tc>
          <w:tcPr>
            <w:tcW w:type="dxa" w:w="1701"/>
          </w:tcPr>
          <w:p>
            <w:r/>
            <w:r>
              <w:rPr>
                <w:sz w:val="19"/>
              </w:rPr>
              <w:t>4-1000</w:t>
            </w:r>
          </w:p>
        </w:tc>
        <w:tc>
          <w:tcPr>
            <w:tcW w:type="dxa" w:w="4535"/>
          </w:tcPr>
          <w:p>
            <w:r/>
            <w:r>
              <w:rPr>
                <w:sz w:val="19"/>
              </w:rPr>
              <w:t>Pendapatan Penjualan</w:t>
            </w:r>
          </w:p>
        </w:tc>
        <w:tc>
          <w:tcPr>
            <w:tcW w:type="dxa" w:w="2835"/>
          </w:tcPr>
          <w:p>
            <w:r/>
            <w:r>
              <w:rPr>
                <w:sz w:val="19"/>
              </w:rPr>
              <w:t>REVENUE</w:t>
            </w:r>
          </w:p>
        </w:tc>
      </w:tr>
      <w:tr>
        <w:tc>
          <w:tcPr>
            <w:tcW w:type="dxa" w:w="1701"/>
          </w:tcPr>
          <w:p>
            <w:r/>
            <w:r>
              <w:rPr>
                <w:sz w:val="19"/>
              </w:rPr>
              <w:t>5-1000</w:t>
            </w:r>
          </w:p>
        </w:tc>
        <w:tc>
          <w:tcPr>
            <w:tcW w:type="dxa" w:w="4535"/>
          </w:tcPr>
          <w:p>
            <w:r/>
            <w:r>
              <w:rPr>
                <w:sz w:val="19"/>
              </w:rPr>
              <w:t>Harga Pokok Penjualan (HPP)</w:t>
            </w:r>
          </w:p>
        </w:tc>
        <w:tc>
          <w:tcPr>
            <w:tcW w:type="dxa" w:w="2835"/>
          </w:tcPr>
          <w:p>
            <w:r/>
            <w:r>
              <w:rPr>
                <w:sz w:val="19"/>
              </w:rPr>
              <w:t>EXPENSE</w:t>
            </w:r>
          </w:p>
        </w:tc>
      </w:tr>
      <w:tr>
        <w:tc>
          <w:tcPr>
            <w:tcW w:type="dxa" w:w="1701"/>
          </w:tcPr>
          <w:p>
            <w:r/>
            <w:r>
              <w:rPr>
                <w:sz w:val="19"/>
              </w:rPr>
              <w:t>6-2100</w:t>
            </w:r>
          </w:p>
        </w:tc>
        <w:tc>
          <w:tcPr>
            <w:tcW w:type="dxa" w:w="4535"/>
          </w:tcPr>
          <w:p>
            <w:r/>
            <w:r>
              <w:rPr>
                <w:sz w:val="19"/>
              </w:rPr>
              <w:t>Beban Selisih Stok</w:t>
            </w:r>
          </w:p>
        </w:tc>
        <w:tc>
          <w:tcPr>
            <w:tcW w:type="dxa" w:w="2835"/>
          </w:tcPr>
          <w:p>
            <w:r/>
            <w:r>
              <w:rPr>
                <w:sz w:val="19"/>
              </w:rPr>
              <w:t>EXPENSE</w:t>
            </w:r>
          </w:p>
        </w:tc>
      </w:tr>
    </w:tbl>
    <w:p>
      <w:pPr>
        <w:spacing w:after="80"/>
      </w:pPr>
    </w:p>
    <w:p>
      <w:pPr>
        <w:spacing w:after="120"/>
      </w:pPr>
      <w:r>
        <w:rPr>
          <w:b w:val="0"/>
          <w:i/>
          <w:color w:val="555555"/>
          <w:sz w:val="19"/>
        </w:rPr>
        <w:t>Catatan: produk bisa override akun default (inventoryAccountId/cogsAccountId/salesAccountId per produk) untuk kasus butuh pemisahan akun per kategori barang, tapi cukup 1 set akun default untuk MVP.</w:t>
      </w:r>
    </w:p>
    <w:p>
      <w:pPr>
        <w:pStyle w:val="Heading2"/>
      </w:pPr>
      <w:r>
        <w:rPr>
          <w:color w:val="1E3A5F"/>
          <w:sz w:val="28"/>
        </w:rPr>
        <w:t>4.4 Integrasi Addon Module &amp; Billing</w:t>
      </w:r>
    </w:p>
    <w:p>
      <w:pPr>
        <w:spacing w:after="120"/>
      </w:pPr>
      <w:r>
        <w:rPr>
          <w:b w:val="0"/>
          <w:i w:val="0"/>
          <w:sz w:val="21"/>
        </w:rPr>
        <w:t>Sistem add-on berbayar (addonModules, companyAddons, invoices) sudah tersedia di backend — modul ini tinggal didaftarkan sebagai entry baru, tidak perlu bikin sistem billing baru.</w:t>
      </w:r>
    </w:p>
    <w:p>
      <w:pPr>
        <w:pStyle w:val="ListBullet"/>
        <w:spacing w:after="60"/>
      </w:pPr>
      <w:r>
        <w:t>Daftarkan sebagai 1 add-on gabungan "Modul Persediaan &amp; Dagang" (mencakup Inventory + PO + Faktur Penjualan) — atau pisah lagi "Modul POS" sebagai add-on terpisah jika ingin harga berbeda untuk client yang cuma butuh grosir tanpa kasir toko.</w:t>
      </w:r>
    </w:p>
    <w:p>
      <w:pPr>
        <w:pStyle w:val="ListBullet"/>
        <w:spacing w:after="60"/>
      </w:pPr>
      <w:r>
        <w:t>Semua routes/pages modul baru di-gate dengan middleware pengecekan companyAddons.status === "active", mengikuti pola 402 subscription-expired yang sudah dipakai billing (event subscription-expired di frontend).</w:t>
      </w:r>
    </w:p>
    <w:p>
      <w:pPr>
        <w:pStyle w:val="ListBullet"/>
        <w:spacing w:after="60"/>
      </w:pPr>
      <w:r>
        <w:t>Ditambahkan ke halaman Billing.tsx sebagai pilihan add-on yang bisa diaktifkan/dibayar via DOKU.</w:t>
      </w:r>
    </w:p>
    <w:p>
      <w:pPr>
        <w:pStyle w:val="Heading2"/>
      </w:pPr>
      <w:r>
        <w:rPr>
          <w:color w:val="1E3A5F"/>
          <w:sz w:val="28"/>
        </w:rPr>
        <w:t>4.5 Hak Akses / Permission Baru</w:t>
      </w:r>
    </w:p>
    <w:p>
      <w:pPr>
        <w:spacing w:after="120"/>
      </w:pPr>
      <w:r>
        <w:rPr>
          <w:b w:val="0"/>
          <w:i w:val="0"/>
          <w:sz w:val="21"/>
        </w:rPr>
        <w:t>Menambah kolom boolean baru di tabel users (mengikuti pola canManageCOA, canEntryJournal, dst yang sudah ada):</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E3A5F"/>
          </w:tcPr>
          <w:p>
            <w:r/>
            <w:r>
              <w:rPr>
                <w:b/>
                <w:color w:val="FFFFFF"/>
                <w:sz w:val="19"/>
              </w:rPr>
              <w:t>Kolom Baru</w:t>
            </w:r>
          </w:p>
        </w:tc>
        <w:tc>
          <w:tcPr>
            <w:tcW w:type="dxa" w:w="6236"/>
            <w:shd w:val="clear" w:color="auto" w:fill="1E3A5F"/>
          </w:tcPr>
          <w:p>
            <w:r/>
            <w:r>
              <w:rPr>
                <w:b/>
                <w:color w:val="FFFFFF"/>
                <w:sz w:val="19"/>
              </w:rPr>
              <w:t>Fungsi</w:t>
            </w:r>
          </w:p>
        </w:tc>
      </w:tr>
      <w:tr>
        <w:tc>
          <w:tcPr>
            <w:tcW w:type="dxa" w:w="2835"/>
          </w:tcPr>
          <w:p>
            <w:r/>
            <w:r>
              <w:rPr>
                <w:sz w:val="19"/>
              </w:rPr>
              <w:t>canManageInventory</w:t>
            </w:r>
          </w:p>
        </w:tc>
        <w:tc>
          <w:tcPr>
            <w:tcW w:type="dxa" w:w="6236"/>
          </w:tcPr>
          <w:p>
            <w:r/>
            <w:r>
              <w:rPr>
                <w:sz w:val="19"/>
              </w:rPr>
              <w:t>CRUD master barang, kategori, penyesuaian stok</w:t>
            </w:r>
          </w:p>
        </w:tc>
      </w:tr>
      <w:tr>
        <w:tc>
          <w:tcPr>
            <w:tcW w:type="dxa" w:w="2835"/>
          </w:tcPr>
          <w:p>
            <w:r/>
            <w:r>
              <w:rPr>
                <w:sz w:val="19"/>
              </w:rPr>
              <w:t>canManagePurchasing</w:t>
            </w:r>
          </w:p>
        </w:tc>
        <w:tc>
          <w:tcPr>
            <w:tcW w:type="dxa" w:w="6236"/>
          </w:tcPr>
          <w:p>
            <w:r/>
            <w:r>
              <w:rPr>
                <w:sz w:val="19"/>
              </w:rPr>
              <w:t>Buat/posting PO &amp; Penerimaan Barang, bayar hutang</w:t>
            </w:r>
          </w:p>
        </w:tc>
      </w:tr>
      <w:tr>
        <w:tc>
          <w:tcPr>
            <w:tcW w:type="dxa" w:w="2835"/>
          </w:tcPr>
          <w:p>
            <w:r/>
            <w:r>
              <w:rPr>
                <w:sz w:val="19"/>
              </w:rPr>
              <w:t>canManageSales</w:t>
            </w:r>
          </w:p>
        </w:tc>
        <w:tc>
          <w:tcPr>
            <w:tcW w:type="dxa" w:w="6236"/>
          </w:tcPr>
          <w:p>
            <w:r/>
            <w:r>
              <w:rPr>
                <w:sz w:val="19"/>
              </w:rPr>
              <w:t>Buat/posting Faktur Penjualan, terima pelunasan piutang</w:t>
            </w:r>
          </w:p>
        </w:tc>
      </w:tr>
      <w:tr>
        <w:tc>
          <w:tcPr>
            <w:tcW w:type="dxa" w:w="2835"/>
          </w:tcPr>
          <w:p>
            <w:r/>
            <w:r>
              <w:rPr>
                <w:sz w:val="19"/>
              </w:rPr>
              <w:t>canOperatePOS</w:t>
            </w:r>
          </w:p>
        </w:tc>
        <w:tc>
          <w:tcPr>
            <w:tcW w:type="dxa" w:w="6236"/>
          </w:tcPr>
          <w:p>
            <w:r/>
            <w:r>
              <w:rPr>
                <w:sz w:val="19"/>
              </w:rPr>
              <w:t>Akses kasir (buka/tutup shift, transaksi POS)</w:t>
            </w:r>
          </w:p>
        </w:tc>
      </w:tr>
      <w:tr>
        <w:tc>
          <w:tcPr>
            <w:tcW w:type="dxa" w:w="2835"/>
          </w:tcPr>
          <w:p>
            <w:r/>
            <w:r>
              <w:rPr>
                <w:sz w:val="19"/>
              </w:rPr>
              <w:t>canVoidPOSTransaction</w:t>
            </w:r>
          </w:p>
        </w:tc>
        <w:tc>
          <w:tcPr>
            <w:tcW w:type="dxa" w:w="6236"/>
          </w:tcPr>
          <w:p>
            <w:r/>
            <w:r>
              <w:rPr>
                <w:sz w:val="19"/>
              </w:rPr>
              <w:t>Void transaksi POS (biasanya khusus SUPERVISOR/ADMIN)</w:t>
            </w:r>
          </w:p>
        </w:tc>
      </w:tr>
    </w:tbl>
    <w:p>
      <w:pPr>
        <w:spacing w:after="80"/>
      </w:pPr>
    </w:p>
    <w:p>
      <w:pPr>
        <w:pStyle w:val="Heading1"/>
      </w:pPr>
      <w:r>
        <w:rPr>
          <w:color w:val="1E3A5F"/>
          <w:sz w:val="36"/>
        </w:rPr>
        <w:t>5. Desain API Backend</w:t>
      </w:r>
    </w:p>
    <w:p>
      <w:pPr>
        <w:spacing w:after="120"/>
      </w:pPr>
      <w:r>
        <w:rPr>
          <w:b w:val="0"/>
          <w:i w:val="0"/>
          <w:sz w:val="21"/>
        </w:rPr>
        <w:t>Mengikuti pola routes/controllers/services yang sudah konsisten di seluruh project (satu file routes + satu file controller per domain):</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1E3A5F"/>
          </w:tcPr>
          <w:p>
            <w:r/>
            <w:r>
              <w:rPr>
                <w:b/>
                <w:color w:val="FFFFFF"/>
                <w:sz w:val="19"/>
              </w:rPr>
              <w:t>Route Prefix</w:t>
            </w:r>
          </w:p>
        </w:tc>
        <w:tc>
          <w:tcPr>
            <w:tcW w:type="dxa" w:w="3118"/>
            <w:shd w:val="clear" w:color="auto" w:fill="1E3A5F"/>
          </w:tcPr>
          <w:p>
            <w:r/>
            <w:r>
              <w:rPr>
                <w:b/>
                <w:color w:val="FFFFFF"/>
                <w:sz w:val="19"/>
              </w:rPr>
              <w:t>Controller</w:t>
            </w:r>
          </w:p>
        </w:tc>
        <w:tc>
          <w:tcPr>
            <w:tcW w:type="dxa" w:w="3685"/>
            <w:shd w:val="clear" w:color="auto" w:fill="1E3A5F"/>
          </w:tcPr>
          <w:p>
            <w:r/>
            <w:r>
              <w:rPr>
                <w:b/>
                <w:color w:val="FFFFFF"/>
                <w:sz w:val="19"/>
              </w:rPr>
              <w:t>Ringkasan Endpoint</w:t>
            </w:r>
          </w:p>
        </w:tc>
      </w:tr>
      <w:tr>
        <w:tc>
          <w:tcPr>
            <w:tcW w:type="dxa" w:w="2268"/>
          </w:tcPr>
          <w:p>
            <w:r/>
            <w:r>
              <w:rPr>
                <w:sz w:val="19"/>
              </w:rPr>
              <w:t>/api/products</w:t>
            </w:r>
          </w:p>
        </w:tc>
        <w:tc>
          <w:tcPr>
            <w:tcW w:type="dxa" w:w="3118"/>
          </w:tcPr>
          <w:p>
            <w:r/>
            <w:r>
              <w:rPr>
                <w:sz w:val="19"/>
              </w:rPr>
              <w:t>products.controller.ts</w:t>
            </w:r>
          </w:p>
        </w:tc>
        <w:tc>
          <w:tcPr>
            <w:tcW w:type="dxa" w:w="3685"/>
          </w:tcPr>
          <w:p>
            <w:r/>
            <w:r>
              <w:rPr>
                <w:sz w:val="19"/>
              </w:rPr>
              <w:t>CRUD produk, kategori, satuan, gudang, upload gambar produk (opsional)</w:t>
            </w:r>
          </w:p>
        </w:tc>
      </w:tr>
      <w:tr>
        <w:tc>
          <w:tcPr>
            <w:tcW w:type="dxa" w:w="2268"/>
          </w:tcPr>
          <w:p>
            <w:r/>
            <w:r>
              <w:rPr>
                <w:sz w:val="19"/>
              </w:rPr>
              <w:t>/api/inventory</w:t>
            </w:r>
          </w:p>
        </w:tc>
        <w:tc>
          <w:tcPr>
            <w:tcW w:type="dxa" w:w="3118"/>
          </w:tcPr>
          <w:p>
            <w:r/>
            <w:r>
              <w:rPr>
                <w:sz w:val="19"/>
              </w:rPr>
              <w:t>inventory.controller.ts</w:t>
            </w:r>
          </w:p>
        </w:tc>
        <w:tc>
          <w:tcPr>
            <w:tcW w:type="dxa" w:w="3685"/>
          </w:tcPr>
          <w:p>
            <w:r/>
            <w:r>
              <w:rPr>
                <w:sz w:val="19"/>
              </w:rPr>
              <w:t>Kartu stok per produk, stok opname/adjustment, laporan nilai persediaan</w:t>
            </w:r>
          </w:p>
        </w:tc>
      </w:tr>
      <w:tr>
        <w:tc>
          <w:tcPr>
            <w:tcW w:type="dxa" w:w="2268"/>
          </w:tcPr>
          <w:p>
            <w:r/>
            <w:r>
              <w:rPr>
                <w:sz w:val="19"/>
              </w:rPr>
              <w:t>/api/purchase-orders</w:t>
            </w:r>
          </w:p>
        </w:tc>
        <w:tc>
          <w:tcPr>
            <w:tcW w:type="dxa" w:w="3118"/>
          </w:tcPr>
          <w:p>
            <w:r/>
            <w:r>
              <w:rPr>
                <w:sz w:val="19"/>
              </w:rPr>
              <w:t>purchaseOrders.controller.ts</w:t>
            </w:r>
          </w:p>
        </w:tc>
        <w:tc>
          <w:tcPr>
            <w:tcW w:type="dxa" w:w="3685"/>
          </w:tcPr>
          <w:p>
            <w:r/>
            <w:r>
              <w:rPr>
                <w:sz w:val="19"/>
              </w:rPr>
              <w:t>CRUD PO, ubah status</w:t>
            </w:r>
          </w:p>
        </w:tc>
      </w:tr>
      <w:tr>
        <w:tc>
          <w:tcPr>
            <w:tcW w:type="dxa" w:w="2268"/>
          </w:tcPr>
          <w:p>
            <w:r/>
            <w:r>
              <w:rPr>
                <w:sz w:val="19"/>
              </w:rPr>
              <w:t>/api/goods-receipts</w:t>
            </w:r>
          </w:p>
        </w:tc>
        <w:tc>
          <w:tcPr>
            <w:tcW w:type="dxa" w:w="3118"/>
          </w:tcPr>
          <w:p>
            <w:r/>
            <w:r>
              <w:rPr>
                <w:sz w:val="19"/>
              </w:rPr>
              <w:t>goodsReceipts.controller.ts</w:t>
            </w:r>
          </w:p>
        </w:tc>
        <w:tc>
          <w:tcPr>
            <w:tcW w:type="dxa" w:w="3685"/>
          </w:tcPr>
          <w:p>
            <w:r/>
            <w:r>
              <w:rPr>
                <w:sz w:val="19"/>
              </w:rPr>
              <w:t>Buat penerimaan (dgn/tanpa PO), posting (trigger stok+jurnal), riwayat</w:t>
            </w:r>
          </w:p>
        </w:tc>
      </w:tr>
      <w:tr>
        <w:tc>
          <w:tcPr>
            <w:tcW w:type="dxa" w:w="2268"/>
          </w:tcPr>
          <w:p>
            <w:r/>
            <w:r>
              <w:rPr>
                <w:sz w:val="19"/>
              </w:rPr>
              <w:t>/api/purchase-payments</w:t>
            </w:r>
          </w:p>
        </w:tc>
        <w:tc>
          <w:tcPr>
            <w:tcW w:type="dxa" w:w="3118"/>
          </w:tcPr>
          <w:p>
            <w:r/>
            <w:r>
              <w:rPr>
                <w:sz w:val="19"/>
              </w:rPr>
              <w:t>purchasePayments.controller.ts</w:t>
            </w:r>
          </w:p>
        </w:tc>
        <w:tc>
          <w:tcPr>
            <w:tcW w:type="dxa" w:w="3685"/>
          </w:tcPr>
          <w:p>
            <w:r/>
            <w:r>
              <w:rPr>
                <w:sz w:val="19"/>
              </w:rPr>
              <w:t>Catat pelunasan hutang, riwayat pembayaran per supplier</w:t>
            </w:r>
          </w:p>
        </w:tc>
      </w:tr>
      <w:tr>
        <w:tc>
          <w:tcPr>
            <w:tcW w:type="dxa" w:w="2268"/>
          </w:tcPr>
          <w:p>
            <w:r/>
            <w:r>
              <w:rPr>
                <w:sz w:val="19"/>
              </w:rPr>
              <w:t>/api/sales-invoices</w:t>
            </w:r>
          </w:p>
        </w:tc>
        <w:tc>
          <w:tcPr>
            <w:tcW w:type="dxa" w:w="3118"/>
          </w:tcPr>
          <w:p>
            <w:r/>
            <w:r>
              <w:rPr>
                <w:sz w:val="19"/>
              </w:rPr>
              <w:t>salesInvoices.controller.ts</w:t>
            </w:r>
          </w:p>
        </w:tc>
        <w:tc>
          <w:tcPr>
            <w:tcW w:type="dxa" w:w="3685"/>
          </w:tcPr>
          <w:p>
            <w:r/>
            <w:r>
              <w:rPr>
                <w:sz w:val="19"/>
              </w:rPr>
              <w:t>CRUD faktur, posting (trigger stok+jurnal), cetak PDF</w:t>
            </w:r>
          </w:p>
        </w:tc>
      </w:tr>
      <w:tr>
        <w:tc>
          <w:tcPr>
            <w:tcW w:type="dxa" w:w="2268"/>
          </w:tcPr>
          <w:p>
            <w:r/>
            <w:r>
              <w:rPr>
                <w:sz w:val="19"/>
              </w:rPr>
              <w:t>/api/sales-payments</w:t>
            </w:r>
          </w:p>
        </w:tc>
        <w:tc>
          <w:tcPr>
            <w:tcW w:type="dxa" w:w="3118"/>
          </w:tcPr>
          <w:p>
            <w:r/>
            <w:r>
              <w:rPr>
                <w:sz w:val="19"/>
              </w:rPr>
              <w:t>salesPayments.controller.ts</w:t>
            </w:r>
          </w:p>
        </w:tc>
        <w:tc>
          <w:tcPr>
            <w:tcW w:type="dxa" w:w="3685"/>
          </w:tcPr>
          <w:p>
            <w:r/>
            <w:r>
              <w:rPr>
                <w:sz w:val="19"/>
              </w:rPr>
              <w:t>Catat pelunasan piutang, riwayat pembayaran per customer</w:t>
            </w:r>
          </w:p>
        </w:tc>
      </w:tr>
      <w:tr>
        <w:tc>
          <w:tcPr>
            <w:tcW w:type="dxa" w:w="2268"/>
          </w:tcPr>
          <w:p>
            <w:r/>
            <w:r>
              <w:rPr>
                <w:sz w:val="19"/>
              </w:rPr>
              <w:t>/api/pos</w:t>
            </w:r>
          </w:p>
        </w:tc>
        <w:tc>
          <w:tcPr>
            <w:tcW w:type="dxa" w:w="3118"/>
          </w:tcPr>
          <w:p>
            <w:r/>
            <w:r>
              <w:rPr>
                <w:sz w:val="19"/>
              </w:rPr>
              <w:t>pos.controller.ts</w:t>
            </w:r>
          </w:p>
        </w:tc>
        <w:tc>
          <w:tcPr>
            <w:tcW w:type="dxa" w:w="3685"/>
          </w:tcPr>
          <w:p>
            <w:r/>
            <w:r>
              <w:rPr>
                <w:sz w:val="19"/>
              </w:rPr>
              <w:t>Buka/tutup shift, checkout transaksi, void, cari produk cepat/scan barcode, cetak struk</w:t>
            </w:r>
          </w:p>
        </w:tc>
      </w:tr>
      <w:tr>
        <w:tc>
          <w:tcPr>
            <w:tcW w:type="dxa" w:w="2268"/>
          </w:tcPr>
          <w:p>
            <w:r/>
            <w:r>
              <w:rPr>
                <w:sz w:val="19"/>
              </w:rPr>
              <w:t>/api/reports/inventory</w:t>
            </w:r>
          </w:p>
        </w:tc>
        <w:tc>
          <w:tcPr>
            <w:tcW w:type="dxa" w:w="3118"/>
          </w:tcPr>
          <w:p>
            <w:r/>
            <w:r>
              <w:rPr>
                <w:sz w:val="19"/>
              </w:rPr>
              <w:t>(extend reports.controller.ts)</w:t>
            </w:r>
          </w:p>
        </w:tc>
        <w:tc>
          <w:tcPr>
            <w:tcW w:type="dxa" w:w="3685"/>
          </w:tcPr>
          <w:p>
            <w:r/>
            <w:r>
              <w:rPr>
                <w:sz w:val="19"/>
              </w:rPr>
              <w:t>Laporan stok, laba kotor per produk, penjualan per produk/kategori</w:t>
            </w:r>
          </w:p>
        </w:tc>
      </w:tr>
    </w:tbl>
    <w:p>
      <w:pPr>
        <w:spacing w:after="80"/>
      </w:pPr>
    </w:p>
    <w:p>
      <w:pPr>
        <w:spacing w:after="120"/>
      </w:pPr>
      <w:r>
        <w:rPr>
          <w:b w:val="0"/>
          <w:i w:val="0"/>
          <w:sz w:val="21"/>
        </w:rPr>
        <w:t>Semua endpoint transaksional (posting PO/Faktur/POS) memakai db.transaction() dari Drizzle — sama seperti pola journalsController.create() sekarang — supaya update stok + insert journalEntries/journalLines + update saldo akun terjadi atomik (semua sukses atau semua gagal, tidak ada state stok/jurnal yang nyangkut setengah).</w:t>
      </w:r>
    </w:p>
    <w:p>
      <w:pPr>
        <w:pStyle w:val="Heading1"/>
      </w:pPr>
      <w:r>
        <w:rPr>
          <w:color w:val="1E3A5F"/>
          <w:sz w:val="36"/>
        </w:rPr>
        <w:t>6. Desain Frontend</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1E3A5F"/>
          </w:tcPr>
          <w:p>
            <w:r/>
            <w:r>
              <w:rPr>
                <w:b/>
                <w:color w:val="FFFFFF"/>
                <w:sz w:val="19"/>
              </w:rPr>
              <w:t>Halaman Baru</w:t>
            </w:r>
          </w:p>
        </w:tc>
        <w:tc>
          <w:tcPr>
            <w:tcW w:type="dxa" w:w="6520"/>
            <w:shd w:val="clear" w:color="auto" w:fill="1E3A5F"/>
          </w:tcPr>
          <w:p>
            <w:r/>
            <w:r>
              <w:rPr>
                <w:b/>
                <w:color w:val="FFFFFF"/>
                <w:sz w:val="19"/>
              </w:rPr>
              <w:t>Fungsi</w:t>
            </w:r>
          </w:p>
        </w:tc>
      </w:tr>
      <w:tr>
        <w:tc>
          <w:tcPr>
            <w:tcW w:type="dxa" w:w="2551"/>
          </w:tcPr>
          <w:p>
            <w:r/>
            <w:r>
              <w:rPr>
                <w:sz w:val="19"/>
              </w:rPr>
              <w:t>ProductMaster.tsx</w:t>
            </w:r>
          </w:p>
        </w:tc>
        <w:tc>
          <w:tcPr>
            <w:tcW w:type="dxa" w:w="6520"/>
          </w:tcPr>
          <w:p>
            <w:r/>
            <w:r>
              <w:rPr>
                <w:sz w:val="19"/>
              </w:rPr>
              <w:t>CRUD master barang, kategori, satuan — mirip pola ChartOfAccount.tsx</w:t>
            </w:r>
          </w:p>
        </w:tc>
      </w:tr>
      <w:tr>
        <w:tc>
          <w:tcPr>
            <w:tcW w:type="dxa" w:w="2551"/>
          </w:tcPr>
          <w:p>
            <w:r/>
            <w:r>
              <w:rPr>
                <w:sz w:val="19"/>
              </w:rPr>
              <w:t>StockCard.tsx</w:t>
            </w:r>
          </w:p>
        </w:tc>
        <w:tc>
          <w:tcPr>
            <w:tcW w:type="dxa" w:w="6520"/>
          </w:tcPr>
          <w:p>
            <w:r/>
            <w:r>
              <w:rPr>
                <w:sz w:val="19"/>
              </w:rPr>
              <w:t>Kartu stok per produk + filter tanggal, export</w:t>
            </w:r>
          </w:p>
        </w:tc>
      </w:tr>
      <w:tr>
        <w:tc>
          <w:tcPr>
            <w:tcW w:type="dxa" w:w="2551"/>
          </w:tcPr>
          <w:p>
            <w:r/>
            <w:r>
              <w:rPr>
                <w:sz w:val="19"/>
              </w:rPr>
              <w:t>StockAdjustment.tsx</w:t>
            </w:r>
          </w:p>
        </w:tc>
        <w:tc>
          <w:tcPr>
            <w:tcW w:type="dxa" w:w="6520"/>
          </w:tcPr>
          <w:p>
            <w:r/>
            <w:r>
              <w:rPr>
                <w:sz w:val="19"/>
              </w:rPr>
              <w:t>Form penyesuaian stok (opname)</w:t>
            </w:r>
          </w:p>
        </w:tc>
      </w:tr>
      <w:tr>
        <w:tc>
          <w:tcPr>
            <w:tcW w:type="dxa" w:w="2551"/>
          </w:tcPr>
          <w:p>
            <w:r/>
            <w:r>
              <w:rPr>
                <w:sz w:val="19"/>
              </w:rPr>
              <w:t>PurchaseOrder.tsx</w:t>
            </w:r>
          </w:p>
        </w:tc>
        <w:tc>
          <w:tcPr>
            <w:tcW w:type="dxa" w:w="6520"/>
          </w:tcPr>
          <w:p>
            <w:r/>
            <w:r>
              <w:rPr>
                <w:sz w:val="19"/>
              </w:rPr>
              <w:t>List &amp; form PO, ubah status, convert ke Penerimaan Barang</w:t>
            </w:r>
          </w:p>
        </w:tc>
      </w:tr>
      <w:tr>
        <w:tc>
          <w:tcPr>
            <w:tcW w:type="dxa" w:w="2551"/>
          </w:tcPr>
          <w:p>
            <w:r/>
            <w:r>
              <w:rPr>
                <w:sz w:val="19"/>
              </w:rPr>
              <w:t>GoodsReceipt.tsx</w:t>
            </w:r>
          </w:p>
        </w:tc>
        <w:tc>
          <w:tcPr>
            <w:tcW w:type="dxa" w:w="6520"/>
          </w:tcPr>
          <w:p>
            <w:r/>
            <w:r>
              <w:rPr>
                <w:sz w:val="19"/>
              </w:rPr>
              <w:t>List &amp; form penerimaan barang, posting, cetak bukti terima</w:t>
            </w:r>
          </w:p>
        </w:tc>
      </w:tr>
      <w:tr>
        <w:tc>
          <w:tcPr>
            <w:tcW w:type="dxa" w:w="2551"/>
          </w:tcPr>
          <w:p>
            <w:r/>
            <w:r>
              <w:rPr>
                <w:sz w:val="19"/>
              </w:rPr>
              <w:t>SalesInvoice.tsx</w:t>
            </w:r>
          </w:p>
        </w:tc>
        <w:tc>
          <w:tcPr>
            <w:tcW w:type="dxa" w:w="6520"/>
          </w:tcPr>
          <w:p>
            <w:r/>
            <w:r>
              <w:rPr>
                <w:sz w:val="19"/>
              </w:rPr>
              <w:t>List &amp; form faktur penjualan, posting, catat pelunasan, cetak PDF — mirip pola FundRequest.tsx</w:t>
            </w:r>
          </w:p>
        </w:tc>
      </w:tr>
      <w:tr>
        <w:tc>
          <w:tcPr>
            <w:tcW w:type="dxa" w:w="2551"/>
          </w:tcPr>
          <w:p>
            <w:r/>
            <w:r>
              <w:rPr>
                <w:sz w:val="19"/>
              </w:rPr>
              <w:t>POS.tsx</w:t>
            </w:r>
          </w:p>
        </w:tc>
        <w:tc>
          <w:tcPr>
            <w:tcW w:type="dxa" w:w="6520"/>
          </w:tcPr>
          <w:p>
            <w:r/>
            <w:r>
              <w:rPr>
                <w:sz w:val="19"/>
              </w:rPr>
              <w:t>Antarmuka kasir full-screen: cari/scan produk, keranjang, checkout, cetak struk</w:t>
            </w:r>
          </w:p>
        </w:tc>
      </w:tr>
      <w:tr>
        <w:tc>
          <w:tcPr>
            <w:tcW w:type="dxa" w:w="2551"/>
          </w:tcPr>
          <w:p>
            <w:r/>
            <w:r>
              <w:rPr>
                <w:sz w:val="19"/>
              </w:rPr>
              <w:t>POSShiftHistory.tsx</w:t>
            </w:r>
          </w:p>
        </w:tc>
        <w:tc>
          <w:tcPr>
            <w:tcW w:type="dxa" w:w="6520"/>
          </w:tcPr>
          <w:p>
            <w:r/>
            <w:r>
              <w:rPr>
                <w:sz w:val="19"/>
              </w:rPr>
              <w:t>Riwayat shift kasir &amp; rekonsiliasi kas</w:t>
            </w:r>
          </w:p>
        </w:tc>
      </w:tr>
    </w:tbl>
    <w:p>
      <w:pPr>
        <w:spacing w:after="80"/>
      </w:pPr>
    </w:p>
    <w:p>
      <w:pPr>
        <w:spacing w:after="80"/>
      </w:pPr>
      <w:r>
        <w:rPr>
          <w:b/>
          <w:i w:val="0"/>
          <w:sz w:val="21"/>
        </w:rPr>
        <w:t>Tambahan pada halaman existing:</w:t>
      </w:r>
    </w:p>
    <w:p>
      <w:pPr>
        <w:pStyle w:val="ListBullet"/>
        <w:spacing w:after="60"/>
      </w:pPr>
      <w:r>
        <w:t>Sidebar.tsx — menu baru "Persediaan &amp; Dagang" dengan submenu (Barang, Pembelian, Penjualan, POS), tampil hanya jika add-on aktif.</w:t>
      </w:r>
    </w:p>
    <w:p>
      <w:pPr>
        <w:pStyle w:val="ListBullet"/>
        <w:spacing w:after="60"/>
      </w:pPr>
      <w:r>
        <w:t>DashboardHome.tsx — widget baru: total nilai persediaan, produk stok menipis, penjualan hari ini (gabungan Faktur+POS).</w:t>
      </w:r>
    </w:p>
    <w:p>
      <w:pPr>
        <w:pStyle w:val="ListBullet"/>
        <w:spacing w:after="60"/>
      </w:pPr>
      <w:r>
        <w:t>Reports.tsx — tab baru: Laporan Laba Kotor, Laporan Stok, Penjualan per Produk/Kategori.</w:t>
      </w:r>
    </w:p>
    <w:p>
      <w:pPr>
        <w:pStyle w:val="ListBullet"/>
        <w:spacing w:after="60"/>
      </w:pPr>
      <w:r>
        <w:t>Billing.tsx — kartu add-on baru untuk aktivasi modul ini.</w:t>
      </w:r>
    </w:p>
    <w:p>
      <w:pPr>
        <w:pStyle w:val="ListBullet"/>
        <w:spacing w:after="60"/>
      </w:pPr>
      <w:r>
        <w:t>App.tsx pathnameToPage() — route baru: /products, /purchase, /sales, /pos.</w:t>
      </w:r>
    </w:p>
    <w:p>
      <w:pPr>
        <w:pStyle w:val="Heading1"/>
      </w:pPr>
      <w:r>
        <w:rPr>
          <w:color w:val="1E3A5F"/>
          <w:sz w:val="36"/>
        </w:rPr>
        <w:t>7. Metode Perhitungan HPP (Costing)</w:t>
      </w:r>
    </w:p>
    <w:p>
      <w:pPr>
        <w:spacing w:after="120"/>
      </w:pPr>
      <w:r>
        <w:rPr>
          <w:b/>
          <w:i w:val="0"/>
          <w:sz w:val="21"/>
        </w:rPr>
        <w:t>Direkomendasikan: Rata-rata Bergerak (Moving Average) — bukan FIFO.</w:t>
      </w:r>
    </w:p>
    <w:p>
      <w:pPr>
        <w:spacing w:after="120"/>
      </w:pPr>
      <w:r>
        <w:rPr>
          <w:b w:val="0"/>
          <w:i w:val="0"/>
          <w:sz w:val="21"/>
        </w:rPr>
        <w:t>Alasan: lebih sederhana diimplementasikan &amp; di-maintain, hasil akhir laporan keuangan tetap akurat untuk kebutuhan SME, dan tidak perlu tracking "layer" pembelian seperti FIFO. FIFO bisa jadi enhancement fase berikutnya jika client benar-benar butuh (mis. untuk barang dengan expiry date/consumable).</w:t>
      </w:r>
    </w:p>
    <w:p>
      <w:pPr>
        <w:spacing w:after="60"/>
      </w:pPr>
      <w:r>
        <w:rPr>
          <w:b/>
          <w:i w:val="0"/>
          <w:sz w:val="21"/>
        </w:rPr>
        <w:t>Formula saat stok masuk (pembelian/penyesuaian tambah):</w:t>
      </w:r>
    </w:p>
    <w:p>
      <w:pPr>
        <w:spacing w:after="120"/>
      </w:pPr>
      <w:r>
        <w:rPr>
          <w:b w:val="0"/>
          <w:i/>
          <w:color w:val="2E86AB"/>
          <w:sz w:val="21"/>
        </w:rPr>
        <w:t>avgCost_baru = ((stokLama × avgCost_lama) + (qtyMasuk × hargaBeliMasuk)) / (stokLama + qtyMasuk)</w:t>
      </w:r>
    </w:p>
    <w:p>
      <w:pPr>
        <w:spacing w:after="200"/>
      </w:pPr>
      <w:r>
        <w:rPr>
          <w:b w:val="0"/>
          <w:i w:val="0"/>
          <w:sz w:val="21"/>
        </w:rPr>
        <w:t>Saat stok keluar (penjualan via Faktur/POS/penyesuaian kurang): dipakai avgCost saat itu sebagai HPP, stok berkurang tanpa mengubah avgCost.</w:t>
      </w:r>
    </w:p>
    <w:p>
      <w:pPr>
        <w:spacing w:after="120"/>
      </w:pPr>
      <w:r>
        <w:rPr>
          <w:b w:val="0"/>
          <w:i w:val="0"/>
          <w:sz w:val="21"/>
        </w:rPr>
        <w:t>products.currentStock dan products.avgCost di-update di setiap transaksi lewat trigger dalam db.transaction(), dan setiap perubahan tetap dicatat baris baru di stock_ledger sebagai jejak audit permanen (kartu stok tidak pernah di-overwrite, hanya insert).</w:t>
      </w:r>
    </w:p>
    <w:p>
      <w:pPr>
        <w:pStyle w:val="Heading1"/>
      </w:pPr>
      <w:r>
        <w:rPr>
          <w:color w:val="1E3A5F"/>
          <w:sz w:val="36"/>
        </w:rPr>
        <w:t>8. Rencana Bertahap (Fase &amp; Estimasi Waktu)</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1E3A5F"/>
          </w:tcPr>
          <w:p>
            <w:r/>
            <w:r>
              <w:rPr>
                <w:b/>
                <w:color w:val="FFFFFF"/>
                <w:sz w:val="19"/>
              </w:rPr>
              <w:t>Fase</w:t>
            </w:r>
          </w:p>
        </w:tc>
        <w:tc>
          <w:tcPr>
            <w:tcW w:type="dxa" w:w="5669"/>
            <w:shd w:val="clear" w:color="auto" w:fill="1E3A5F"/>
          </w:tcPr>
          <w:p>
            <w:r/>
            <w:r>
              <w:rPr>
                <w:b/>
                <w:color w:val="FFFFFF"/>
                <w:sz w:val="19"/>
              </w:rPr>
              <w:t>Cakupan</w:t>
            </w:r>
          </w:p>
        </w:tc>
        <w:tc>
          <w:tcPr>
            <w:tcW w:type="dxa" w:w="1417"/>
            <w:shd w:val="clear" w:color="auto" w:fill="1E3A5F"/>
          </w:tcPr>
          <w:p>
            <w:r/>
            <w:r>
              <w:rPr>
                <w:b/>
                <w:color w:val="FFFFFF"/>
                <w:sz w:val="19"/>
              </w:rPr>
              <w:t>Estimasi</w:t>
            </w:r>
          </w:p>
        </w:tc>
      </w:tr>
      <w:tr>
        <w:tc>
          <w:tcPr>
            <w:tcW w:type="dxa" w:w="1984"/>
          </w:tcPr>
          <w:p>
            <w:r/>
            <w:r>
              <w:rPr>
                <w:sz w:val="19"/>
              </w:rPr>
              <w:t>Fase 0 — Fondasi</w:t>
            </w:r>
          </w:p>
        </w:tc>
        <w:tc>
          <w:tcPr>
            <w:tcW w:type="dxa" w:w="5669"/>
          </w:tcPr>
          <w:p>
            <w:r/>
            <w:r>
              <w:rPr>
                <w:sz w:val="19"/>
              </w:rPr>
              <w:t>Skema DB baru (migration SQL), seed COA baru, permission baru, registrasi add-on module, Master Barang/Kategori/Satuan/Gudang (backend+frontend CRUD)</w:t>
            </w:r>
          </w:p>
        </w:tc>
        <w:tc>
          <w:tcPr>
            <w:tcW w:type="dxa" w:w="1417"/>
          </w:tcPr>
          <w:p>
            <w:r/>
            <w:r>
              <w:rPr>
                <w:sz w:val="19"/>
              </w:rPr>
              <w:t>1 – 1.5 minggu</w:t>
            </w:r>
          </w:p>
        </w:tc>
      </w:tr>
      <w:tr>
        <w:tc>
          <w:tcPr>
            <w:tcW w:type="dxa" w:w="1984"/>
          </w:tcPr>
          <w:p>
            <w:r/>
            <w:r>
              <w:rPr>
                <w:sz w:val="19"/>
              </w:rPr>
              <w:t>Fase 1 — Persediaan</w:t>
            </w:r>
          </w:p>
        </w:tc>
        <w:tc>
          <w:tcPr>
            <w:tcW w:type="dxa" w:w="5669"/>
          </w:tcPr>
          <w:p>
            <w:r/>
            <w:r>
              <w:rPr>
                <w:sz w:val="19"/>
              </w:rPr>
              <w:t>Engine kartu stok (moving average), Penyesuaian Stok, halaman StockCard &amp; StockAdjustment, laporan nilai persediaan</w:t>
            </w:r>
          </w:p>
        </w:tc>
        <w:tc>
          <w:tcPr>
            <w:tcW w:type="dxa" w:w="1417"/>
          </w:tcPr>
          <w:p>
            <w:r/>
            <w:r>
              <w:rPr>
                <w:sz w:val="19"/>
              </w:rPr>
              <w:t>1 minggu</w:t>
            </w:r>
          </w:p>
        </w:tc>
      </w:tr>
      <w:tr>
        <w:tc>
          <w:tcPr>
            <w:tcW w:type="dxa" w:w="1984"/>
          </w:tcPr>
          <w:p>
            <w:r/>
            <w:r>
              <w:rPr>
                <w:sz w:val="19"/>
              </w:rPr>
              <w:t>Fase 2 — Pembelian</w:t>
            </w:r>
          </w:p>
        </w:tc>
        <w:tc>
          <w:tcPr>
            <w:tcW w:type="dxa" w:w="5669"/>
          </w:tcPr>
          <w:p>
            <w:r/>
            <w:r>
              <w:rPr>
                <w:sz w:val="19"/>
              </w:rPr>
              <w:t>Purchase Order, Penerimaan Barang (posting stok+jurnal AP), Pembayaran Hutang, riwayat pembelian per vendor</w:t>
            </w:r>
          </w:p>
        </w:tc>
        <w:tc>
          <w:tcPr>
            <w:tcW w:type="dxa" w:w="1417"/>
          </w:tcPr>
          <w:p>
            <w:r/>
            <w:r>
              <w:rPr>
                <w:sz w:val="19"/>
              </w:rPr>
              <w:t>1 – 1.5 minggu</w:t>
            </w:r>
          </w:p>
        </w:tc>
      </w:tr>
      <w:tr>
        <w:tc>
          <w:tcPr>
            <w:tcW w:type="dxa" w:w="1984"/>
          </w:tcPr>
          <w:p>
            <w:r/>
            <w:r>
              <w:rPr>
                <w:sz w:val="19"/>
              </w:rPr>
              <w:t>Fase 3 — Penjualan B2B</w:t>
            </w:r>
          </w:p>
        </w:tc>
        <w:tc>
          <w:tcPr>
            <w:tcW w:type="dxa" w:w="5669"/>
          </w:tcPr>
          <w:p>
            <w:r/>
            <w:r>
              <w:rPr>
                <w:sz w:val="19"/>
              </w:rPr>
              <w:t>Faktur Penjualan (posting AR+Revenue+HPP), Pelunasan Piutang, cetak PDF invoice, riwayat penjualan per customer</w:t>
            </w:r>
          </w:p>
        </w:tc>
        <w:tc>
          <w:tcPr>
            <w:tcW w:type="dxa" w:w="1417"/>
          </w:tcPr>
          <w:p>
            <w:r/>
            <w:r>
              <w:rPr>
                <w:sz w:val="19"/>
              </w:rPr>
              <w:t>1 – 1.5 minggu</w:t>
            </w:r>
          </w:p>
        </w:tc>
      </w:tr>
      <w:tr>
        <w:tc>
          <w:tcPr>
            <w:tcW w:type="dxa" w:w="1984"/>
          </w:tcPr>
          <w:p>
            <w:r/>
            <w:r>
              <w:rPr>
                <w:sz w:val="19"/>
              </w:rPr>
              <w:t>Fase 4 — POS Retail</w:t>
            </w:r>
          </w:p>
        </w:tc>
        <w:tc>
          <w:tcPr>
            <w:tcW w:type="dxa" w:w="5669"/>
          </w:tcPr>
          <w:p>
            <w:r/>
            <w:r>
              <w:rPr>
                <w:sz w:val="19"/>
              </w:rPr>
              <w:t>Shift kasir, UI kasir + scan barcode, checkout multi-metode bayar, cetak struk, void transaksi</w:t>
            </w:r>
          </w:p>
        </w:tc>
        <w:tc>
          <w:tcPr>
            <w:tcW w:type="dxa" w:w="1417"/>
          </w:tcPr>
          <w:p>
            <w:r/>
            <w:r>
              <w:rPr>
                <w:sz w:val="19"/>
              </w:rPr>
              <w:t>1.5 – 2 minggu</w:t>
            </w:r>
          </w:p>
        </w:tc>
      </w:tr>
      <w:tr>
        <w:tc>
          <w:tcPr>
            <w:tcW w:type="dxa" w:w="1984"/>
          </w:tcPr>
          <w:p>
            <w:r/>
            <w:r>
              <w:rPr>
                <w:sz w:val="19"/>
              </w:rPr>
              <w:t>Fase 5 — Laporan &amp; QA</w:t>
            </w:r>
          </w:p>
        </w:tc>
        <w:tc>
          <w:tcPr>
            <w:tcW w:type="dxa" w:w="5669"/>
          </w:tcPr>
          <w:p>
            <w:r/>
            <w:r>
              <w:rPr>
                <w:sz w:val="19"/>
              </w:rPr>
              <w:t>Laporan Laba Kotor, Penjualan per Produk, alert stok menipis, widget dashboard, testing end-to-end, dokumentasi migration &amp; deploy</w:t>
            </w:r>
          </w:p>
        </w:tc>
        <w:tc>
          <w:tcPr>
            <w:tcW w:type="dxa" w:w="1417"/>
          </w:tcPr>
          <w:p>
            <w:r/>
            <w:r>
              <w:rPr>
                <w:sz w:val="19"/>
              </w:rPr>
              <w:t>1 minggu</w:t>
            </w:r>
          </w:p>
        </w:tc>
      </w:tr>
    </w:tbl>
    <w:p>
      <w:pPr>
        <w:spacing w:after="80"/>
      </w:pPr>
    </w:p>
    <w:p>
      <w:pPr>
        <w:spacing w:after="120"/>
      </w:pPr>
      <w:r>
        <w:rPr>
          <w:b w:val="0"/>
          <w:i/>
          <w:color w:val="555555"/>
          <w:sz w:val="19"/>
        </w:rPr>
        <w:t>Total estimasi: 6.5 – 8.5 minggu kerja, tergantung kedalaman testing dan revisi dari client. Fase 0–3 bisa dipakai duluan oleh client B2B murni sebelum Fase 4 (POS) selesai — jadi ada milestone yang usable lebih awal.</w:t>
      </w:r>
    </w:p>
    <w:p>
      <w:pPr>
        <w:pStyle w:val="Heading1"/>
      </w:pPr>
      <w:r>
        <w:rPr>
          <w:color w:val="1E3A5F"/>
          <w:sz w:val="36"/>
        </w:rPr>
        <w:t>9. Risiko &amp; Mitigasi</w:t>
      </w:r>
    </w:p>
    <w:tbl>
      <w:tblPr>
        <w:tblStyle w:val="TableGrid"/>
        <w:tblW w:type="auto" w:w="0"/>
        <w:jc w:val="center"/>
        <w:tblLook w:firstColumn="1" w:firstRow="1" w:lastColumn="0" w:lastRow="0" w:noHBand="0" w:noVBand="1" w:val="04A0"/>
      </w:tblPr>
      <w:tblGrid>
        <w:gridCol w:w="4873"/>
        <w:gridCol w:w="4873"/>
      </w:tblGrid>
      <w:tr>
        <w:tc>
          <w:tcPr>
            <w:tcW w:type="dxa" w:w="3969"/>
            <w:shd w:val="clear" w:color="auto" w:fill="1E3A5F"/>
          </w:tcPr>
          <w:p>
            <w:r/>
            <w:r>
              <w:rPr>
                <w:b/>
                <w:color w:val="FFFFFF"/>
                <w:sz w:val="19"/>
              </w:rPr>
              <w:t>Risiko</w:t>
            </w:r>
          </w:p>
        </w:tc>
        <w:tc>
          <w:tcPr>
            <w:tcW w:type="dxa" w:w="5102"/>
            <w:shd w:val="clear" w:color="auto" w:fill="1E3A5F"/>
          </w:tcPr>
          <w:p>
            <w:r/>
            <w:r>
              <w:rPr>
                <w:b/>
                <w:color w:val="FFFFFF"/>
                <w:sz w:val="19"/>
              </w:rPr>
              <w:t>Mitigasi</w:t>
            </w:r>
          </w:p>
        </w:tc>
      </w:tr>
      <w:tr>
        <w:tc>
          <w:tcPr>
            <w:tcW w:type="dxa" w:w="3969"/>
          </w:tcPr>
          <w:p>
            <w:r/>
            <w:r>
              <w:rPr>
                <w:sz w:val="19"/>
              </w:rPr>
              <w:t>Race condition saat 2 transaksi update stok produk yang sama bersamaan (mis. 2 kasir POS jual produk sama)</w:t>
            </w:r>
          </w:p>
        </w:tc>
        <w:tc>
          <w:tcPr>
            <w:tcW w:type="dxa" w:w="5102"/>
          </w:tcPr>
          <w:p>
            <w:r/>
            <w:r>
              <w:rPr>
                <w:sz w:val="19"/>
              </w:rPr>
              <w:t>Pakai db.transaction() + row locking (SELECT ... FOR UPDATE) saat update products.currentStock/avgCost</w:t>
            </w:r>
          </w:p>
        </w:tc>
      </w:tr>
      <w:tr>
        <w:tc>
          <w:tcPr>
            <w:tcW w:type="dxa" w:w="3969"/>
          </w:tcPr>
          <w:p>
            <w:r/>
            <w:r>
              <w:rPr>
                <w:sz w:val="19"/>
              </w:rPr>
              <w:t>Void/edit transaksi yang sudah posting bikin stok &amp; jurnal tidak sinkron</w:t>
            </w:r>
          </w:p>
        </w:tc>
        <w:tc>
          <w:tcPr>
            <w:tcW w:type="dxa" w:w="5102"/>
          </w:tcPr>
          <w:p>
            <w:r/>
            <w:r>
              <w:rPr>
                <w:sz w:val="19"/>
              </w:rPr>
              <w:t>Void = buat jurnal &amp; mutasi stok pembalik (reversal), bukan hapus/edit data asli — konsisten dgn status VOID yang sudah ada di journalEntries</w:t>
            </w:r>
          </w:p>
        </w:tc>
      </w:tr>
      <w:tr>
        <w:tc>
          <w:tcPr>
            <w:tcW w:type="dxa" w:w="3969"/>
          </w:tcPr>
          <w:p>
            <w:r/>
            <w:r>
              <w:rPr>
                <w:sz w:val="19"/>
              </w:rPr>
              <w:t>Printer struk thermal butuh driver khusus</w:t>
            </w:r>
          </w:p>
        </w:tc>
        <w:tc>
          <w:tcPr>
            <w:tcW w:type="dxa" w:w="5102"/>
          </w:tcPr>
          <w:p>
            <w:r/>
            <w:r>
              <w:rPr>
                <w:sz w:val="19"/>
              </w:rPr>
              <w:t>MVP pakai cetak browser (CSS ukuran 58/80mm) yang jalan di printer thermal generic via driver Windows biasa; integrasi ESC/POS langsung jadi enhancement lanjutan</w:t>
            </w:r>
          </w:p>
        </w:tc>
      </w:tr>
      <w:tr>
        <w:tc>
          <w:tcPr>
            <w:tcW w:type="dxa" w:w="3969"/>
          </w:tcPr>
          <w:p>
            <w:r/>
            <w:r>
              <w:rPr>
                <w:sz w:val="19"/>
              </w:rPr>
              <w:t>Barcode scanner hardware</w:t>
            </w:r>
          </w:p>
        </w:tc>
        <w:tc>
          <w:tcPr>
            <w:tcW w:type="dxa" w:w="5102"/>
          </w:tcPr>
          <w:p>
            <w:r/>
            <w:r>
              <w:rPr>
                <w:sz w:val="19"/>
              </w:rPr>
              <w:t>Scanner USB/Bluetooth kebanyakan bekerja sebagai "keyboard wedge" (mengetik lalu Enter) — cukup listener di input pencarian POS, tidak perlu driver khusus</w:t>
            </w:r>
          </w:p>
        </w:tc>
      </w:tr>
      <w:tr>
        <w:tc>
          <w:tcPr>
            <w:tcW w:type="dxa" w:w="3969"/>
          </w:tcPr>
          <w:p>
            <w:r/>
            <w:r>
              <w:rPr>
                <w:sz w:val="19"/>
              </w:rPr>
              <w:t>Migration SQL manual di phpMyAdmin (pola project ini) berisiko human error di produksi</w:t>
            </w:r>
          </w:p>
        </w:tc>
        <w:tc>
          <w:tcPr>
            <w:tcW w:type="dxa" w:w="5102"/>
          </w:tcPr>
          <w:p>
            <w:r/>
            <w:r>
              <w:rPr>
                <w:sz w:val="19"/>
              </w:rPr>
              <w:t>Sediakan script migration bertahap per fase + checklist deploy, uji dulu di local/staging sebelum dijalankan ke DB produksi</w:t>
            </w:r>
          </w:p>
        </w:tc>
      </w:tr>
    </w:tbl>
    <w:p>
      <w:pPr>
        <w:spacing w:after="80"/>
      </w:pPr>
    </w:p>
    <w:p>
      <w:pPr>
        <w:pStyle w:val="Heading1"/>
      </w:pPr>
      <w:r>
        <w:rPr>
          <w:color w:val="1E3A5F"/>
          <w:sz w:val="36"/>
        </w:rPr>
        <w:t>10. Asumsi &amp; Pertanyaan Terbuka</w:t>
      </w:r>
    </w:p>
    <w:p>
      <w:pPr>
        <w:spacing w:after="80"/>
      </w:pPr>
      <w:r>
        <w:rPr>
          <w:b/>
          <w:i w:val="0"/>
          <w:sz w:val="21"/>
        </w:rPr>
        <w:t>Perlu dikonfirmasi ke client sebelum/selama Fase 0:</w:t>
      </w:r>
    </w:p>
    <w:p>
      <w:pPr>
        <w:pStyle w:val="ListNumber"/>
        <w:spacing w:after="60"/>
      </w:pPr>
      <w:r>
        <w:t>Apakah butuh multi-gudang dari awal, atau 1 gudang default cukup untuk fase pertama?</w:t>
      </w:r>
    </w:p>
    <w:p>
      <w:pPr>
        <w:pStyle w:val="ListNumber"/>
        <w:spacing w:after="60"/>
      </w:pPr>
      <w:r>
        <w:t>Apakah perlu perhitungan PPN (11%) otomatis di Faktur &amp; POS, atau harga sudah termasuk pajak/tidak kena pajak?</w:t>
      </w:r>
    </w:p>
    <w:p>
      <w:pPr>
        <w:pStyle w:val="ListNumber"/>
        <w:spacing w:after="60"/>
      </w:pPr>
      <w:r>
        <w:t>Apakah butuh integrasi payment gateway fisik (EDC/QRIS otomatis rekonsiliasi), atau cukup dicatat manual metode bayarnya?</w:t>
      </w:r>
    </w:p>
    <w:p>
      <w:pPr>
        <w:pStyle w:val="ListNumber"/>
        <w:spacing w:after="60"/>
      </w:pPr>
      <w:r>
        <w:t>Apakah butuh cetak barcode label produk dari sistem, atau barcode sudah ada dari supplier/pabrik?</w:t>
      </w:r>
    </w:p>
    <w:p>
      <w:pPr>
        <w:pStyle w:val="ListNumber"/>
        <w:spacing w:after="60"/>
      </w:pPr>
      <w:r>
        <w:t>Berapa banyak titik kasir (device) yang akan pakai POS bersamaan — pengaruh ke prioritas penanganan race condition di Fase 4.</w:t>
      </w:r>
    </w:p>
    <w:p>
      <w:pPr>
        <w:pStyle w:val="ListNumber"/>
        <w:spacing w:after="60"/>
      </w:pPr>
      <w:r>
        <w:t>Harga add-on bulanan untuk modul ini (dipakai untuk isi addonModules.priceMonthly) — satu paket gabungan atau dipecah per modul?</w:t>
      </w:r>
    </w:p>
    <w:p>
      <w:pPr>
        <w:pStyle w:val="Heading1"/>
      </w:pPr>
      <w:r>
        <w:rPr>
          <w:color w:val="1E3A5F"/>
          <w:sz w:val="36"/>
        </w:rPr>
        <w:t>11. Langkah Deployment</w:t>
      </w:r>
    </w:p>
    <w:p>
      <w:pPr>
        <w:spacing w:after="120"/>
      </w:pPr>
      <w:r>
        <w:rPr>
          <w:b w:val="0"/>
          <w:i w:val="0"/>
          <w:sz w:val="21"/>
        </w:rPr>
        <w:t>Mengikuti pola deployment yang sudah berjalan di project ini (build lokal → upload manual ke Rumah Web, bukan CI/CD):</w:t>
      </w:r>
    </w:p>
    <w:p>
      <w:pPr>
        <w:pStyle w:val="ListNumber"/>
        <w:spacing w:after="60"/>
      </w:pPr>
      <w:r>
        <w:t>Jalankan migration SQL tabel-tabel baru di phpMyAdmin (per fase, jangan sekaligus di awal — supaya rollback lebih mudah kalau ada masalah).</w:t>
      </w:r>
    </w:p>
    <w:p>
      <w:pPr>
        <w:pStyle w:val="ListNumber"/>
        <w:spacing w:after="60"/>
      </w:pPr>
      <w:r>
        <w:t>npm run build di backend/ → upload folder dist/ ke Rumah Web Node.js app → restart app via cPanel.</w:t>
      </w:r>
    </w:p>
    <w:p>
      <w:pPr>
        <w:pStyle w:val="ListNumber"/>
        <w:spacing w:after="60"/>
      </w:pPr>
      <w:r>
        <w:t>npm run build di root → upload folder dist/ ke Rumah Web public_html.</w:t>
      </w:r>
    </w:p>
    <w:p>
      <w:pPr>
        <w:pStyle w:val="ListNumber"/>
        <w:spacing w:after="60"/>
      </w:pPr>
      <w:r>
        <w:t>Seed akun COA baru (Persediaan, HPP, PPN, dst) untuk company yang mengaktifkan add-on ini.</w:t>
      </w:r>
    </w:p>
    <w:p>
      <w:pPr>
        <w:pStyle w:val="ListNumber"/>
        <w:spacing w:after="60"/>
      </w:pPr>
      <w:r>
        <w:t>Daftarkan entry baru di tabel addon_modules, aktifkan lewat halaman Billing untuk company client terkait.</w:t>
      </w:r>
    </w:p>
    <w:p>
      <w:pPr>
        <w:pStyle w:val="ListNumber"/>
        <w:spacing w:after="60"/>
      </w:pPr>
      <w:r>
        <w:t>Uji end-to-end di akun client sebelum go-live: 1 siklus penuh PO → Terima Barang → Jual (Faktur &amp; POS) → cek Laporan Laba Rugi &amp; Neraca ter-update benar.</w:t>
      </w:r>
    </w:p>
    <w:p/>
    <w:p>
      <w:pPr>
        <w:spacing w:after="120"/>
        <w:jc w:val="center"/>
      </w:pPr>
      <w:r>
        <w:rPr>
          <w:b w:val="0"/>
          <w:i/>
          <w:color w:val="555555"/>
          <w:sz w:val="18"/>
        </w:rPr>
        <w:t>— Dokumen ini adalah rencana teknis untuk didiskusikan lebih lanjut sebelum implementasi dimulai.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