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Cybersecurity Audit &amp; Risk Remediation Report</w:t>
      </w:r>
    </w:p>
    <w:p>
      <w:pPr>
        <w:pStyle w:val="Heading1"/>
      </w:pPr>
      <w:r>
        <w:t>1. Audit Scope &amp; Legislative Framework</w:t>
      </w:r>
    </w:p>
    <w:p>
      <w:pPr>
        <w:pStyle w:val="ListBullet"/>
      </w:pPr>
      <w:r>
        <w:t>Business Operations: The business operates as a digital graphic design agency named HJMH Studios.</w:t>
      </w:r>
    </w:p>
    <w:p>
      <w:pPr>
        <w:pStyle w:val="ListBullet"/>
      </w:pPr>
      <w:r>
        <w:t>Audit Scope: The evaluation covers Endpoint Security, Access Control, Data Backup, and Delivery Pipelines.</w:t>
      </w:r>
    </w:p>
    <w:p>
      <w:pPr>
        <w:pStyle w:val="ListBullet"/>
      </w:pPr>
      <w:r>
        <w:t>Applicable Framework: The audit is conducted against the Nigeria Data Protection Regulation (NDPR) 2023.</w:t>
      </w:r>
    </w:p>
    <w:p>
      <w:pPr>
        <w:pStyle w:val="ListBullet"/>
      </w:pPr>
      <w:r>
        <w:t>Legal Classification: HJMH Studios functions as a Data Controller for client branding assets and personal information.</w:t>
      </w:r>
    </w:p>
    <w:p>
      <w:pPr>
        <w:pStyle w:val="Heading1"/>
      </w:pPr>
      <w:r>
        <w:t>2. Initial Setup vs. Target State (Environmental Survey)</w:t>
      </w:r>
    </w:p>
    <w:p>
      <w:pPr>
        <w:pStyle w:val="ListBullet"/>
      </w:pPr>
      <w:r>
        <w:t>Environment: The pre-assessment baseline showed 1 laptop running personal and work tasks on a single profile. The target post-assessment state segments the laptop into isolated 'Work' and 'Personal' user profiles.</w:t>
      </w:r>
    </w:p>
    <w:p>
      <w:pPr>
        <w:pStyle w:val="ListBullet"/>
      </w:pPr>
      <w:r>
        <w:t>Network Hygiene: Both the baseline and target states rely on mobile phone hotspot tethering to avoid public Wi-Fi usage.</w:t>
      </w:r>
    </w:p>
    <w:p>
      <w:pPr>
        <w:pStyle w:val="ListBullet"/>
      </w:pPr>
      <w:r>
        <w:t>Access Control: The baseline setup featured a single complex password reused across accounts alongside partial MFA. The target state deploys a Bitwarden Password Manager to guarantee 100% unique passwords and universal MFA.</w:t>
      </w:r>
    </w:p>
    <w:p>
      <w:pPr>
        <w:pStyle w:val="ListBullet"/>
      </w:pPr>
      <w:r>
        <w:t>Data Resiliency: The initial setup maintained 100% reliance on live Google Drive sync with zero physical backups. The target state establishes a 1TB external hard drive specifically for daily, offline backups.</w:t>
      </w:r>
    </w:p>
    <w:p>
      <w:pPr>
        <w:pStyle w:val="ListBullet"/>
      </w:pPr>
      <w:r>
        <w:t>Retention: The business originally granted permanent 'lifetime' sharing links on client deliverables. The post-assessment state enforces NDPR-compliant 30-day auto-expiring links for all client deliveries.</w:t>
      </w:r>
    </w:p>
    <w:p>
      <w:pPr>
        <w:pStyle w:val="Heading1"/>
      </w:pPr>
      <w:r>
        <w:t>3. Security Improvements: Before vs.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 Area</w:t>
            </w:r>
          </w:p>
        </w:tc>
        <w:tc>
          <w:tcPr>
            <w:tcW w:type="dxa" w:w="2880"/>
          </w:tcPr>
          <w:p>
            <w:r>
              <w:t>Before Audit (Vulnerable)</w:t>
            </w:r>
          </w:p>
        </w:tc>
        <w:tc>
          <w:tcPr>
            <w:tcW w:type="dxa" w:w="2880"/>
          </w:tcPr>
          <w:p>
            <w:r>
              <w:t>After Audit (Hardened)</w:t>
            </w:r>
          </w:p>
        </w:tc>
      </w:tr>
      <w:tr>
        <w:tc>
          <w:tcPr>
            <w:tcW w:type="dxa" w:w="2880"/>
          </w:tcPr>
          <w:p>
            <w:r>
              <w:t>Endpoint Isolation</w:t>
            </w:r>
          </w:p>
        </w:tc>
        <w:tc>
          <w:tcPr>
            <w:tcW w:type="dxa" w:w="2880"/>
          </w:tcPr>
          <w:p>
            <w:r>
              <w:t>High Risk: Mixed personal browsing and CorelDRAW work on one profile.</w:t>
            </w:r>
          </w:p>
        </w:tc>
        <w:tc>
          <w:tcPr>
            <w:tcW w:type="dxa" w:w="2880"/>
          </w:tcPr>
          <w:p>
            <w:r>
              <w:t>Low Risk: Isolated 'Work' and 'Personal' user accounts.</w:t>
            </w:r>
          </w:p>
        </w:tc>
      </w:tr>
      <w:tr>
        <w:tc>
          <w:tcPr>
            <w:tcW w:type="dxa" w:w="2880"/>
          </w:tcPr>
          <w:p>
            <w:r>
              <w:t>Credential Hygiene</w:t>
            </w:r>
          </w:p>
        </w:tc>
        <w:tc>
          <w:tcPr>
            <w:tcW w:type="dxa" w:w="2880"/>
          </w:tcPr>
          <w:p>
            <w:r>
              <w:t>Critical Risk: Password reuse across Google, Magnific, and personal accounts.</w:t>
            </w:r>
          </w:p>
        </w:tc>
        <w:tc>
          <w:tcPr>
            <w:tcW w:type="dxa" w:w="2880"/>
          </w:tcPr>
          <w:p>
            <w:r>
              <w:t>Low Risk: Zero-knowledge Bitwarden vault with unique passwords.</w:t>
            </w:r>
          </w:p>
        </w:tc>
      </w:tr>
      <w:tr>
        <w:tc>
          <w:tcPr>
            <w:tcW w:type="dxa" w:w="2880"/>
          </w:tcPr>
          <w:p>
            <w:r>
              <w:t>Data Resiliency</w:t>
            </w:r>
          </w:p>
        </w:tc>
        <w:tc>
          <w:tcPr>
            <w:tcW w:type="dxa" w:w="2880"/>
          </w:tcPr>
          <w:p>
            <w:r>
              <w:t>High Risk: Live cloud sync only, which allows local ransomware to destroy cloud files.</w:t>
            </w:r>
          </w:p>
        </w:tc>
        <w:tc>
          <w:tcPr>
            <w:tcW w:type="dxa" w:w="2880"/>
          </w:tcPr>
          <w:p>
            <w:r>
              <w:t>Low Risk: A 3-2-1 backup model combined with an offline, hard drive.</w:t>
            </w:r>
          </w:p>
        </w:tc>
      </w:tr>
      <w:tr>
        <w:tc>
          <w:tcPr>
            <w:tcW w:type="dxa" w:w="2880"/>
          </w:tcPr>
          <w:p>
            <w:r>
              <w:t>NDPR Compliance</w:t>
            </w:r>
          </w:p>
        </w:tc>
        <w:tc>
          <w:tcPr>
            <w:tcW w:type="dxa" w:w="2880"/>
          </w:tcPr>
          <w:p>
            <w:r>
              <w:t>Medium Risk: Permanent client file hosting violates storage limits.</w:t>
            </w:r>
          </w:p>
        </w:tc>
        <w:tc>
          <w:tcPr>
            <w:tcW w:type="dxa" w:w="2880"/>
          </w:tcPr>
          <w:p>
            <w:r>
              <w:t>Low Risk: 30-day expiring delivery links enforce storage limits.</w:t>
            </w:r>
          </w:p>
        </w:tc>
      </w:tr>
    </w:tbl>
    <w:p>
      <w:pPr>
        <w:pStyle w:val="Heading1"/>
      </w:pPr>
      <w:r>
        <w:t>4. Quantitative Risk Assessment</w:t>
      </w:r>
    </w:p>
    <w:p>
      <w:r>
        <w:t>Risk is calculated using the formula: Risk = Likelihood × Impact, based on a scoring scale of 1 (Low), 2 (Medium), and 3 (High).</w:t>
      </w:r>
    </w:p>
    <w:p>
      <w:pPr>
        <w:pStyle w:val="ListBullet"/>
      </w:pPr>
      <w:r>
        <w:t>Credential Reuse: Assessed with a High Likelihood (3) and High Impact (3), resulting in a Critical Risk Score of 9.</w:t>
      </w:r>
    </w:p>
    <w:p>
      <w:pPr>
        <w:pStyle w:val="ListBullet"/>
      </w:pPr>
      <w:r>
        <w:t>Mistaking live cloud sync for a real backup: Assessed with a Medium Likelihood (2) and High Impact (3), resulting in a High Risk Score of 6.</w:t>
      </w:r>
    </w:p>
    <w:p>
      <w:pPr>
        <w:pStyle w:val="ListBullet"/>
      </w:pPr>
      <w:r>
        <w:t>NDPA Storage Limitation Violation: Assessed with a High Likelihood (3) and Medium Impact (2), resulting in a High Risk Score of 6.</w:t>
      </w:r>
    </w:p>
    <w:p>
      <w:pPr>
        <w:pStyle w:val="ListBullet"/>
      </w:pPr>
      <w:r>
        <w:t>Malware via Search Engine Ads: Assessed with a Medium Likelihood (2) and Medium Impact (2), resulting in a Medium Risk Score of 4.</w:t>
      </w:r>
    </w:p>
    <w:p>
      <w:pPr>
        <w:pStyle w:val="ListBullet"/>
      </w:pPr>
      <w:r>
        <w:t>Public Network Interception: Assessed with a Low Likelihood (1) and High Impact (3), resulting in a Low Risk Score of 3, primarily because it is mitigated by a mobile hotspot.</w:t>
      </w:r>
    </w:p>
    <w:p>
      <w:pPr>
        <w:pStyle w:val="Heading1"/>
      </w:pPr>
      <w:r>
        <w:t>5. Developed Policies &amp; Remediation Plan</w:t>
      </w:r>
    </w:p>
    <w:p>
      <w:pPr>
        <w:pStyle w:val="ListBullet"/>
      </w:pPr>
      <w:r>
        <w:t>Zero-Trust IAM Policy (Critical / Score 9): This policy mandates the adoption of a Password Manager and strictly prohibits password reuse. It requires universal MFA enforcement across Google Workspace, Magnific, and financial portals.</w:t>
      </w:r>
    </w:p>
    <w:p>
      <w:pPr>
        <w:pStyle w:val="ListBullet"/>
      </w:pPr>
      <w:r>
        <w:t>3-2-1 Data Redundancy Policy (High / Score 6): This mandates maintaining 3 copies of data on 2 different media types, with 1 copy kept offline. It includes the procurement of a 1TB external drive for daily, local backups.</w:t>
      </w:r>
    </w:p>
    <w:p>
      <w:pPr>
        <w:pStyle w:val="ListBullet"/>
      </w:pPr>
      <w:r>
        <w:t>Data Retention &amp; Delivery Policy (High / Score 6): This dictates that all Google Drive delivery links must automatically expire 30 days post-delivery. This mechanism enforces storage limitations under NDPR 2023.</w:t>
      </w:r>
    </w:p>
    <w:p>
      <w:pPr>
        <w:pStyle w:val="ListBullet"/>
      </w:pPr>
      <w:r>
        <w:t>Verified Asset Sourcing Policy (Medium / Score 4): Software and assets must be sourced exclusively from official vendor domains, such as Magnific and Google Fonts. Downloading software via sponsored search ads is strictly prohibited.</w:t>
      </w:r>
    </w:p>
    <w:p>
      <w:pPr>
        <w:pStyle w:val="Heading1"/>
      </w:pPr>
      <w:r>
        <w:t>6. Conclusion &amp; Strategic Outlook</w:t>
      </w:r>
    </w:p>
    <w:p>
      <w:pPr>
        <w:pStyle w:val="ListBullet"/>
      </w:pPr>
      <w:r>
        <w:t>The implemented strategies successfully transformed HJMH Studios from a vulnerable single-endpoint state to a hardened, resilient operational model.</w:t>
      </w:r>
    </w:p>
    <w:p>
      <w:pPr>
        <w:pStyle w:val="ListBullet"/>
      </w:pPr>
      <w:r>
        <w:t>Critical account takeover and ransomware sync risks have been effectively neutralized through password management and physical backups.</w:t>
      </w:r>
    </w:p>
    <w:p>
      <w:pPr>
        <w:pStyle w:val="ListBullet"/>
      </w:pPr>
      <w:r>
        <w:t>The business has achieved full compliance with the Nigeria Data Protection Regulation (NDPR)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