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5.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3987856"/>
        <w:docPartObj>
          <w:docPartGallery w:val="Cover Pages"/>
          <w:docPartUnique/>
        </w:docPartObj>
      </w:sdtPr>
      <w:sdtEndPr>
        <w:rPr>
          <w:rFonts w:eastAsiaTheme="minorHAnsi"/>
        </w:rPr>
      </w:sdtEndPr>
      <w:sdtContent>
        <w:p w14:paraId="6A636090" w14:textId="427D3740" w:rsidR="00DB5BB5" w:rsidRDefault="00DB5BB5" w:rsidP="0089399F">
          <w:pPr>
            <w:pStyle w:val="NoSpacing"/>
          </w:pPr>
        </w:p>
        <w:p w14:paraId="454C939F" w14:textId="3DC4D070" w:rsidR="00DB5BB5" w:rsidRDefault="00DB5BB5">
          <w:r>
            <w:rPr>
              <w:noProof/>
            </w:rPr>
            <mc:AlternateContent>
              <mc:Choice Requires="wpg">
                <w:drawing>
                  <wp:anchor distT="0" distB="0" distL="114300" distR="114300" simplePos="0" relativeHeight="251659264" behindDoc="1" locked="0" layoutInCell="1" allowOverlap="1" wp14:anchorId="1E24626A" wp14:editId="233AB64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4DA0764" w14:textId="77777777" w:rsidR="00AA0DFF" w:rsidRDefault="00AA0DFF" w:rsidP="00DB5BB5">
                                  <w:pPr>
                                    <w:jc w:val="center"/>
                                    <w:rPr>
                                      <w:rFonts w:ascii="Arial Black" w:hAnsi="Arial Black"/>
                                      <w:b/>
                                      <w:bCs/>
                                      <w:color w:val="FFFFFF" w:themeColor="background1"/>
                                      <w:sz w:val="40"/>
                                      <w:szCs w:val="40"/>
                                    </w:rPr>
                                  </w:pPr>
                                </w:p>
                                <w:p w14:paraId="152C48E2" w14:textId="62BA072D" w:rsidR="00AA0DFF" w:rsidRPr="00DB5BB5" w:rsidRDefault="00A62006" w:rsidP="00B173D1">
                                  <w:pPr>
                                    <w:jc w:val="center"/>
                                    <w:rPr>
                                      <w:rFonts w:asciiTheme="minorBidi" w:hAnsiTheme="minorBidi"/>
                                      <w:color w:val="FFFFFF" w:themeColor="background1"/>
                                      <w:sz w:val="56"/>
                                      <w:szCs w:val="56"/>
                                    </w:rPr>
                                  </w:pPr>
                                  <w:r>
                                    <w:rPr>
                                      <w:rFonts w:asciiTheme="minorBidi" w:hAnsiTheme="minorBidi"/>
                                      <w:color w:val="FFFFFF" w:themeColor="background1"/>
                                      <w:sz w:val="56"/>
                                      <w:szCs w:val="56"/>
                                    </w:rPr>
                                    <w:t>Introduction to Banking</w:t>
                                  </w:r>
                                  <w:r w:rsidR="00AA0DFF" w:rsidRPr="00DB5BB5">
                                    <w:rPr>
                                      <w:rFonts w:asciiTheme="minorBidi" w:hAnsiTheme="minorBidi"/>
                                      <w:color w:val="FFFFFF" w:themeColor="background1"/>
                                      <w:sz w:val="56"/>
                                      <w:szCs w:val="56"/>
                                    </w:rPr>
                                    <w:t xml:space="preserve"> </w:t>
                                  </w:r>
                                  <w:r w:rsidR="00AA0DFF">
                                    <w:rPr>
                                      <w:rFonts w:asciiTheme="minorBidi" w:hAnsiTheme="minorBidi"/>
                                      <w:color w:val="FFFFFF" w:themeColor="background1"/>
                                      <w:sz w:val="56"/>
                                      <w:szCs w:val="56"/>
                                    </w:rPr>
                                    <w:t xml:space="preserve">    </w:t>
                                  </w:r>
                                  <w:r>
                                    <w:rPr>
                                      <w:rFonts w:asciiTheme="minorBidi" w:hAnsiTheme="minorBidi"/>
                                      <w:color w:val="FFFFFF" w:themeColor="background1"/>
                                      <w:sz w:val="56"/>
                                      <w:szCs w:val="56"/>
                                    </w:rPr>
                                    <w:t>20BFIN03I</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24626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4DA0764" w14:textId="77777777" w:rsidR="00AA0DFF" w:rsidRDefault="00AA0DFF" w:rsidP="00DB5BB5">
                            <w:pPr>
                              <w:jc w:val="center"/>
                              <w:rPr>
                                <w:rFonts w:ascii="Arial Black" w:hAnsi="Arial Black"/>
                                <w:b/>
                                <w:bCs/>
                                <w:color w:val="FFFFFF" w:themeColor="background1"/>
                                <w:sz w:val="40"/>
                                <w:szCs w:val="40"/>
                              </w:rPr>
                            </w:pPr>
                          </w:p>
                          <w:p w14:paraId="152C48E2" w14:textId="62BA072D" w:rsidR="00AA0DFF" w:rsidRPr="00DB5BB5" w:rsidRDefault="00A62006" w:rsidP="00B173D1">
                            <w:pPr>
                              <w:jc w:val="center"/>
                              <w:rPr>
                                <w:rFonts w:asciiTheme="minorBidi" w:hAnsiTheme="minorBidi"/>
                                <w:color w:val="FFFFFF" w:themeColor="background1"/>
                                <w:sz w:val="56"/>
                                <w:szCs w:val="56"/>
                              </w:rPr>
                            </w:pPr>
                            <w:r>
                              <w:rPr>
                                <w:rFonts w:asciiTheme="minorBidi" w:hAnsiTheme="minorBidi"/>
                                <w:color w:val="FFFFFF" w:themeColor="background1"/>
                                <w:sz w:val="56"/>
                                <w:szCs w:val="56"/>
                              </w:rPr>
                              <w:t>Introduction to Banking</w:t>
                            </w:r>
                            <w:r w:rsidR="00AA0DFF" w:rsidRPr="00DB5BB5">
                              <w:rPr>
                                <w:rFonts w:asciiTheme="minorBidi" w:hAnsiTheme="minorBidi"/>
                                <w:color w:val="FFFFFF" w:themeColor="background1"/>
                                <w:sz w:val="56"/>
                                <w:szCs w:val="56"/>
                              </w:rPr>
                              <w:t xml:space="preserve"> </w:t>
                            </w:r>
                            <w:r w:rsidR="00AA0DFF">
                              <w:rPr>
                                <w:rFonts w:asciiTheme="minorBidi" w:hAnsiTheme="minorBidi"/>
                                <w:color w:val="FFFFFF" w:themeColor="background1"/>
                                <w:sz w:val="56"/>
                                <w:szCs w:val="56"/>
                              </w:rPr>
                              <w:t xml:space="preserve">    </w:t>
                            </w:r>
                            <w:r>
                              <w:rPr>
                                <w:rFonts w:asciiTheme="minorBidi" w:hAnsiTheme="minorBidi"/>
                                <w:color w:val="FFFFFF" w:themeColor="background1"/>
                                <w:sz w:val="56"/>
                                <w:szCs w:val="56"/>
                              </w:rPr>
                              <w:t>20BFIN03I</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2C3A1587" wp14:editId="7B8B75D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28D4A" w14:textId="55DA9546" w:rsidR="00AA0DFF" w:rsidRPr="00240835" w:rsidRDefault="00A62006" w:rsidP="00DB5BB5">
                                <w:pPr>
                                  <w:pStyle w:val="NoSpacing"/>
                                  <w:jc w:val="center"/>
                                  <w:rPr>
                                    <w:rFonts w:asciiTheme="minorBidi" w:hAnsiTheme="minorBidi"/>
                                    <w:b/>
                                    <w:bCs/>
                                    <w:color w:val="FFFFFF" w:themeColor="background1"/>
                                    <w:sz w:val="24"/>
                                    <w:szCs w:val="24"/>
                                  </w:rPr>
                                </w:pPr>
                                <w:r>
                                  <w:rPr>
                                    <w:rFonts w:asciiTheme="minorBidi" w:hAnsiTheme="minorBidi"/>
                                    <w:b/>
                                    <w:bCs/>
                                    <w:color w:val="FFFFFF" w:themeColor="background1"/>
                                    <w:sz w:val="24"/>
                                    <w:szCs w:val="24"/>
                                  </w:rPr>
                                  <w:t>Group 34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3A1587" id="Rectangle 130" o:spid="_x0000_s1029"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n7Ley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p w14:paraId="71328D4A" w14:textId="55DA9546" w:rsidR="00AA0DFF" w:rsidRPr="00240835" w:rsidRDefault="00A62006" w:rsidP="00DB5BB5">
                          <w:pPr>
                            <w:pStyle w:val="NoSpacing"/>
                            <w:jc w:val="center"/>
                            <w:rPr>
                              <w:rFonts w:asciiTheme="minorBidi" w:hAnsiTheme="minorBidi"/>
                              <w:b/>
                              <w:bCs/>
                              <w:color w:val="FFFFFF" w:themeColor="background1"/>
                              <w:sz w:val="24"/>
                              <w:szCs w:val="24"/>
                            </w:rPr>
                          </w:pPr>
                          <w:r>
                            <w:rPr>
                              <w:rFonts w:asciiTheme="minorBidi" w:hAnsiTheme="minorBidi"/>
                              <w:b/>
                              <w:bCs/>
                              <w:color w:val="FFFFFF" w:themeColor="background1"/>
                              <w:sz w:val="24"/>
                              <w:szCs w:val="24"/>
                            </w:rPr>
                            <w:t>Group 34</w:t>
                          </w:r>
                        </w:p>
                      </w:txbxContent>
                    </v:textbox>
                    <w10:wrap anchorx="margin" anchory="page"/>
                  </v:rect>
                </w:pict>
              </mc:Fallback>
            </mc:AlternateContent>
          </w:r>
        </w:p>
      </w:sdtContent>
    </w:sdt>
    <w:p w14:paraId="07C029E7" w14:textId="77777777" w:rsidR="00240835" w:rsidRDefault="00240835"/>
    <w:p w14:paraId="313ADD34" w14:textId="71D3CDE1" w:rsidR="00240835" w:rsidRDefault="00D0118F" w:rsidP="00240835">
      <w:r>
        <w:rPr>
          <w:noProof/>
        </w:rPr>
        <mc:AlternateContent>
          <mc:Choice Requires="wps">
            <w:drawing>
              <wp:anchor distT="0" distB="0" distL="114300" distR="114300" simplePos="0" relativeHeight="251661312" behindDoc="0" locked="0" layoutInCell="1" allowOverlap="1" wp14:anchorId="6B88F62F" wp14:editId="658E142B">
                <wp:simplePos x="0" y="0"/>
                <wp:positionH relativeFrom="margin">
                  <wp:posOffset>-523875</wp:posOffset>
                </wp:positionH>
                <wp:positionV relativeFrom="paragraph">
                  <wp:posOffset>4872990</wp:posOffset>
                </wp:positionV>
                <wp:extent cx="6962775" cy="28098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6962775" cy="2809875"/>
                        </a:xfrm>
                        <a:prstGeom prst="rect">
                          <a:avLst/>
                        </a:prstGeom>
                        <a:solidFill>
                          <a:schemeClr val="lt1"/>
                        </a:solidFill>
                        <a:ln w="6350">
                          <a:solidFill>
                            <a:schemeClr val="bg1"/>
                          </a:solidFill>
                        </a:ln>
                      </wps:spPr>
                      <wps:txbx>
                        <w:txbxContent>
                          <w:p w14:paraId="56498AB2" w14:textId="0DB4E14A" w:rsidR="00AA0DFF" w:rsidRPr="00A62006" w:rsidRDefault="00AA0DFF" w:rsidP="00A62006">
                            <w:pPr>
                              <w:pBdr>
                                <w:top w:val="single" w:sz="24" w:space="8" w:color="4472C4" w:themeColor="accent1"/>
                                <w:bottom w:val="single" w:sz="24" w:space="8" w:color="4472C4" w:themeColor="accent1"/>
                              </w:pBdr>
                              <w:spacing w:after="0"/>
                              <w:rPr>
                                <w:rFonts w:asciiTheme="minorBidi" w:hAnsiTheme="minorBidi"/>
                                <w:color w:val="000000" w:themeColor="text1"/>
                                <w:sz w:val="24"/>
                                <w:szCs w:val="24"/>
                              </w:rPr>
                            </w:pPr>
                            <w:r w:rsidRPr="00DB5BB5">
                              <w:rPr>
                                <w:rFonts w:asciiTheme="minorBidi" w:hAnsiTheme="minorBidi"/>
                                <w:color w:val="000000" w:themeColor="text1"/>
                                <w:sz w:val="24"/>
                              </w:rPr>
                              <w:t>Ali Muhammed Ali Muhammed 186641</w:t>
                            </w:r>
                          </w:p>
                          <w:p w14:paraId="7C4352EC" w14:textId="77777777" w:rsidR="00AA0DFF" w:rsidRDefault="00AA0D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88F62F" id="_x0000_t202" coordsize="21600,21600" o:spt="202" path="m,l,21600r21600,l21600,xe">
                <v:stroke joinstyle="miter"/>
                <v:path gradientshapeok="t" o:connecttype="rect"/>
              </v:shapetype>
              <v:shape id="Text Box 1" o:spid="_x0000_s1030" type="#_x0000_t202" style="position:absolute;margin-left:-41.25pt;margin-top:383.7pt;width:548.25pt;height:221.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" fillcolor="white [3201]" strokecolor="white [3212]" strokeweight=".5pt">
                <v:textbox>
                  <w:txbxContent>
                    <w:p w14:paraId="56498AB2" w14:textId="0DB4E14A" w:rsidR="00AA0DFF" w:rsidRPr="00A62006" w:rsidRDefault="00AA0DFF" w:rsidP="00A62006">
                      <w:pPr>
                        <w:pBdr>
                          <w:top w:val="single" w:sz="24" w:space="8" w:color="4472C4" w:themeColor="accent1"/>
                          <w:bottom w:val="single" w:sz="24" w:space="8" w:color="4472C4" w:themeColor="accent1"/>
                        </w:pBdr>
                        <w:spacing w:after="0"/>
                        <w:rPr>
                          <w:rFonts w:asciiTheme="minorBidi" w:hAnsiTheme="minorBidi"/>
                          <w:color w:val="000000" w:themeColor="text1"/>
                          <w:sz w:val="24"/>
                          <w:szCs w:val="24"/>
                        </w:rPr>
                      </w:pPr>
                      <w:r w:rsidRPr="00DB5BB5">
                        <w:rPr>
                          <w:rFonts w:asciiTheme="minorBidi" w:hAnsiTheme="minorBidi"/>
                          <w:color w:val="000000" w:themeColor="text1"/>
                          <w:sz w:val="24"/>
                        </w:rPr>
                        <w:t>Ali Muhammed Ali Muhammed 186641</w:t>
                      </w:r>
                    </w:p>
                    <w:p w14:paraId="7C4352EC" w14:textId="77777777" w:rsidR="00AA0DFF" w:rsidRDefault="00AA0DFF"/>
                  </w:txbxContent>
                </v:textbox>
                <w10:wrap anchorx="margin"/>
              </v:shape>
            </w:pict>
          </mc:Fallback>
        </mc:AlternateContent>
      </w:r>
      <w:r w:rsidR="00240835">
        <w:br w:type="page"/>
      </w:r>
    </w:p>
    <w:p w14:paraId="2A7017E6" w14:textId="4F27A079" w:rsidR="00240835" w:rsidRDefault="00240835" w:rsidP="00D0118F"/>
    <w:sdt>
      <w:sdtPr>
        <w:rPr>
          <w:rFonts w:ascii="Arial Black" w:eastAsiaTheme="minorHAnsi" w:hAnsi="Arial Black" w:cstheme="minorBidi"/>
          <w:color w:val="FF0000"/>
          <w:sz w:val="36"/>
          <w:szCs w:val="36"/>
        </w:rPr>
        <w:id w:val="-1993482873"/>
        <w:docPartObj>
          <w:docPartGallery w:val="Table of Contents"/>
          <w:docPartUnique/>
        </w:docPartObj>
      </w:sdtPr>
      <w:sdtEndPr>
        <w:rPr>
          <w:rFonts w:asciiTheme="minorHAnsi" w:hAnsiTheme="minorHAnsi"/>
          <w:b/>
          <w:bCs/>
          <w:noProof/>
          <w:color w:val="auto"/>
          <w:sz w:val="22"/>
          <w:szCs w:val="22"/>
        </w:rPr>
      </w:sdtEndPr>
      <w:sdtContent>
        <w:p w14:paraId="78891E60" w14:textId="2AC437A1" w:rsidR="008A7F13" w:rsidRPr="008A7F13" w:rsidRDefault="008A7F13" w:rsidP="008A7F13">
          <w:pPr>
            <w:pStyle w:val="TOCHeading"/>
            <w:jc w:val="center"/>
            <w:rPr>
              <w:rFonts w:ascii="Arial Black" w:hAnsi="Arial Black"/>
              <w:color w:val="FF0000"/>
              <w:sz w:val="36"/>
              <w:szCs w:val="36"/>
            </w:rPr>
          </w:pPr>
          <w:r w:rsidRPr="008A7F13">
            <w:rPr>
              <w:rFonts w:ascii="Arial Black" w:hAnsi="Arial Black"/>
              <w:color w:val="FF0000"/>
              <w:sz w:val="36"/>
              <w:szCs w:val="36"/>
            </w:rPr>
            <w:t>Table of Contents</w:t>
          </w:r>
        </w:p>
        <w:p w14:paraId="7109D96B" w14:textId="43E2BC73" w:rsidR="00867F48" w:rsidRDefault="0053708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103021" w:history="1">
            <w:r w:rsidR="00867F48" w:rsidRPr="00613637">
              <w:rPr>
                <w:rStyle w:val="Hyperlink"/>
                <w:rFonts w:asciiTheme="minorBidi" w:hAnsiTheme="minorBidi"/>
                <w:b/>
                <w:bCs/>
                <w:noProof/>
              </w:rPr>
              <w:t>Executive Summary</w:t>
            </w:r>
            <w:r w:rsidR="00867F48">
              <w:rPr>
                <w:noProof/>
                <w:webHidden/>
              </w:rPr>
              <w:tab/>
            </w:r>
            <w:r w:rsidR="00867F48">
              <w:rPr>
                <w:noProof/>
                <w:webHidden/>
              </w:rPr>
              <w:fldChar w:fldCharType="begin"/>
            </w:r>
            <w:r w:rsidR="00867F48">
              <w:rPr>
                <w:noProof/>
                <w:webHidden/>
              </w:rPr>
              <w:instrText xml:space="preserve"> PAGEREF _Toc59103021 \h </w:instrText>
            </w:r>
            <w:r w:rsidR="00867F48">
              <w:rPr>
                <w:noProof/>
                <w:webHidden/>
              </w:rPr>
            </w:r>
            <w:r w:rsidR="00867F48">
              <w:rPr>
                <w:noProof/>
                <w:webHidden/>
              </w:rPr>
              <w:fldChar w:fldCharType="separate"/>
            </w:r>
            <w:r w:rsidR="00867F48">
              <w:rPr>
                <w:noProof/>
                <w:webHidden/>
              </w:rPr>
              <w:t>3</w:t>
            </w:r>
            <w:r w:rsidR="00867F48">
              <w:rPr>
                <w:noProof/>
                <w:webHidden/>
              </w:rPr>
              <w:fldChar w:fldCharType="end"/>
            </w:r>
          </w:hyperlink>
        </w:p>
        <w:p w14:paraId="21E6DD54" w14:textId="2A926E7F" w:rsidR="00867F48" w:rsidRDefault="00FE136F">
          <w:pPr>
            <w:pStyle w:val="TOC1"/>
            <w:tabs>
              <w:tab w:val="right" w:leader="dot" w:pos="9350"/>
            </w:tabs>
            <w:rPr>
              <w:rFonts w:eastAsiaTheme="minorEastAsia"/>
              <w:noProof/>
            </w:rPr>
          </w:pPr>
          <w:hyperlink w:anchor="_Toc59103022" w:history="1">
            <w:r w:rsidR="00867F48" w:rsidRPr="00613637">
              <w:rPr>
                <w:rStyle w:val="Hyperlink"/>
                <w:rFonts w:asciiTheme="minorBidi" w:hAnsiTheme="minorBidi"/>
                <w:b/>
                <w:bCs/>
                <w:noProof/>
              </w:rPr>
              <w:t>Introduction</w:t>
            </w:r>
            <w:r w:rsidR="00867F48">
              <w:rPr>
                <w:noProof/>
                <w:webHidden/>
              </w:rPr>
              <w:tab/>
            </w:r>
            <w:r w:rsidR="00867F48">
              <w:rPr>
                <w:noProof/>
                <w:webHidden/>
              </w:rPr>
              <w:fldChar w:fldCharType="begin"/>
            </w:r>
            <w:r w:rsidR="00867F48">
              <w:rPr>
                <w:noProof/>
                <w:webHidden/>
              </w:rPr>
              <w:instrText xml:space="preserve"> PAGEREF _Toc59103022 \h </w:instrText>
            </w:r>
            <w:r w:rsidR="00867F48">
              <w:rPr>
                <w:noProof/>
                <w:webHidden/>
              </w:rPr>
            </w:r>
            <w:r w:rsidR="00867F48">
              <w:rPr>
                <w:noProof/>
                <w:webHidden/>
              </w:rPr>
              <w:fldChar w:fldCharType="separate"/>
            </w:r>
            <w:r w:rsidR="00867F48">
              <w:rPr>
                <w:noProof/>
                <w:webHidden/>
              </w:rPr>
              <w:t>4</w:t>
            </w:r>
            <w:r w:rsidR="00867F48">
              <w:rPr>
                <w:noProof/>
                <w:webHidden/>
              </w:rPr>
              <w:fldChar w:fldCharType="end"/>
            </w:r>
          </w:hyperlink>
        </w:p>
        <w:p w14:paraId="30C591F2" w14:textId="7D7E7062" w:rsidR="00867F48" w:rsidRDefault="00FE136F">
          <w:pPr>
            <w:pStyle w:val="TOC2"/>
            <w:rPr>
              <w:rFonts w:asciiTheme="minorHAnsi" w:eastAsiaTheme="minorEastAsia" w:hAnsiTheme="minorHAnsi"/>
              <w:color w:val="auto"/>
            </w:rPr>
          </w:pPr>
          <w:hyperlink w:anchor="_Toc59103023" w:history="1">
            <w:r w:rsidR="00867F48" w:rsidRPr="00613637">
              <w:rPr>
                <w:rStyle w:val="Hyperlink"/>
                <w:rFonts w:asciiTheme="minorBidi" w:hAnsiTheme="minorBidi"/>
                <w:b/>
                <w:bCs/>
                <w:color w:val="023160" w:themeColor="hyperlink" w:themeShade="80"/>
              </w:rPr>
              <w:t>Qatar National Bank</w:t>
            </w:r>
            <w:r w:rsidR="00867F48">
              <w:rPr>
                <w:webHidden/>
              </w:rPr>
              <w:tab/>
            </w:r>
            <w:r w:rsidR="00867F48">
              <w:rPr>
                <w:webHidden/>
              </w:rPr>
              <w:fldChar w:fldCharType="begin"/>
            </w:r>
            <w:r w:rsidR="00867F48">
              <w:rPr>
                <w:webHidden/>
              </w:rPr>
              <w:instrText xml:space="preserve"> PAGEREF _Toc59103023 \h </w:instrText>
            </w:r>
            <w:r w:rsidR="00867F48">
              <w:rPr>
                <w:webHidden/>
              </w:rPr>
            </w:r>
            <w:r w:rsidR="00867F48">
              <w:rPr>
                <w:webHidden/>
              </w:rPr>
              <w:fldChar w:fldCharType="separate"/>
            </w:r>
            <w:r w:rsidR="00867F48">
              <w:rPr>
                <w:webHidden/>
              </w:rPr>
              <w:t>4</w:t>
            </w:r>
            <w:r w:rsidR="00867F48">
              <w:rPr>
                <w:webHidden/>
              </w:rPr>
              <w:fldChar w:fldCharType="end"/>
            </w:r>
          </w:hyperlink>
        </w:p>
        <w:p w14:paraId="267CADC2" w14:textId="23097EC6" w:rsidR="00867F48" w:rsidRDefault="00FE136F">
          <w:pPr>
            <w:pStyle w:val="TOC2"/>
            <w:rPr>
              <w:rFonts w:asciiTheme="minorHAnsi" w:eastAsiaTheme="minorEastAsia" w:hAnsiTheme="minorHAnsi"/>
              <w:color w:val="auto"/>
            </w:rPr>
          </w:pPr>
          <w:hyperlink w:anchor="_Toc59103024" w:history="1">
            <w:r w:rsidR="00867F48" w:rsidRPr="00613637">
              <w:rPr>
                <w:rStyle w:val="Hyperlink"/>
                <w:rFonts w:asciiTheme="minorBidi" w:hAnsiTheme="minorBidi"/>
                <w:b/>
                <w:bCs/>
                <w:color w:val="023160" w:themeColor="hyperlink" w:themeShade="80"/>
              </w:rPr>
              <w:t>Arab African International Bank</w:t>
            </w:r>
            <w:r w:rsidR="00867F48">
              <w:rPr>
                <w:webHidden/>
              </w:rPr>
              <w:tab/>
            </w:r>
            <w:r w:rsidR="00867F48">
              <w:rPr>
                <w:webHidden/>
              </w:rPr>
              <w:fldChar w:fldCharType="begin"/>
            </w:r>
            <w:r w:rsidR="00867F48">
              <w:rPr>
                <w:webHidden/>
              </w:rPr>
              <w:instrText xml:space="preserve"> PAGEREF _Toc59103024 \h </w:instrText>
            </w:r>
            <w:r w:rsidR="00867F48">
              <w:rPr>
                <w:webHidden/>
              </w:rPr>
            </w:r>
            <w:r w:rsidR="00867F48">
              <w:rPr>
                <w:webHidden/>
              </w:rPr>
              <w:fldChar w:fldCharType="separate"/>
            </w:r>
            <w:r w:rsidR="00867F48">
              <w:rPr>
                <w:webHidden/>
              </w:rPr>
              <w:t>4</w:t>
            </w:r>
            <w:r w:rsidR="00867F48">
              <w:rPr>
                <w:webHidden/>
              </w:rPr>
              <w:fldChar w:fldCharType="end"/>
            </w:r>
          </w:hyperlink>
        </w:p>
        <w:p w14:paraId="1822B1D6" w14:textId="47C4A5A0" w:rsidR="00867F48" w:rsidRDefault="00FE136F">
          <w:pPr>
            <w:pStyle w:val="TOC1"/>
            <w:tabs>
              <w:tab w:val="right" w:leader="dot" w:pos="9350"/>
            </w:tabs>
            <w:rPr>
              <w:rFonts w:eastAsiaTheme="minorEastAsia"/>
              <w:noProof/>
            </w:rPr>
          </w:pPr>
          <w:hyperlink w:anchor="_Toc59103025" w:history="1">
            <w:r w:rsidR="00867F48" w:rsidRPr="00613637">
              <w:rPr>
                <w:rStyle w:val="Hyperlink"/>
                <w:rFonts w:asciiTheme="minorBidi" w:hAnsiTheme="minorBidi"/>
                <w:b/>
                <w:bCs/>
                <w:noProof/>
                <w:lang w:val="en-GB"/>
              </w:rPr>
              <w:t>Time-series analysis</w:t>
            </w:r>
            <w:r w:rsidR="00867F48">
              <w:rPr>
                <w:noProof/>
                <w:webHidden/>
              </w:rPr>
              <w:tab/>
            </w:r>
            <w:r w:rsidR="00867F48">
              <w:rPr>
                <w:noProof/>
                <w:webHidden/>
              </w:rPr>
              <w:fldChar w:fldCharType="begin"/>
            </w:r>
            <w:r w:rsidR="00867F48">
              <w:rPr>
                <w:noProof/>
                <w:webHidden/>
              </w:rPr>
              <w:instrText xml:space="preserve"> PAGEREF _Toc59103025 \h </w:instrText>
            </w:r>
            <w:r w:rsidR="00867F48">
              <w:rPr>
                <w:noProof/>
                <w:webHidden/>
              </w:rPr>
            </w:r>
            <w:r w:rsidR="00867F48">
              <w:rPr>
                <w:noProof/>
                <w:webHidden/>
              </w:rPr>
              <w:fldChar w:fldCharType="separate"/>
            </w:r>
            <w:r w:rsidR="00867F48">
              <w:rPr>
                <w:noProof/>
                <w:webHidden/>
              </w:rPr>
              <w:t>5</w:t>
            </w:r>
            <w:r w:rsidR="00867F48">
              <w:rPr>
                <w:noProof/>
                <w:webHidden/>
              </w:rPr>
              <w:fldChar w:fldCharType="end"/>
            </w:r>
          </w:hyperlink>
        </w:p>
        <w:p w14:paraId="060D27BA" w14:textId="63B9275B" w:rsidR="00867F48" w:rsidRDefault="00FE136F">
          <w:pPr>
            <w:pStyle w:val="TOC2"/>
            <w:rPr>
              <w:rFonts w:asciiTheme="minorHAnsi" w:eastAsiaTheme="minorEastAsia" w:hAnsiTheme="minorHAnsi"/>
              <w:color w:val="auto"/>
            </w:rPr>
          </w:pPr>
          <w:hyperlink w:anchor="_Toc59103026" w:history="1">
            <w:r w:rsidR="00867F48" w:rsidRPr="00613637">
              <w:rPr>
                <w:rStyle w:val="Hyperlink"/>
                <w:rFonts w:asciiTheme="minorBidi" w:hAnsiTheme="minorBidi"/>
                <w:b/>
                <w:bCs/>
                <w:color w:val="023160" w:themeColor="hyperlink" w:themeShade="80"/>
                <w:lang w:val="en-GB"/>
              </w:rPr>
              <w:t>Qatar National Bank ALAHLI</w:t>
            </w:r>
            <w:r w:rsidR="00867F48">
              <w:rPr>
                <w:webHidden/>
              </w:rPr>
              <w:tab/>
            </w:r>
            <w:r w:rsidR="00867F48">
              <w:rPr>
                <w:webHidden/>
              </w:rPr>
              <w:fldChar w:fldCharType="begin"/>
            </w:r>
            <w:r w:rsidR="00867F48">
              <w:rPr>
                <w:webHidden/>
              </w:rPr>
              <w:instrText xml:space="preserve"> PAGEREF _Toc59103026 \h </w:instrText>
            </w:r>
            <w:r w:rsidR="00867F48">
              <w:rPr>
                <w:webHidden/>
              </w:rPr>
            </w:r>
            <w:r w:rsidR="00867F48">
              <w:rPr>
                <w:webHidden/>
              </w:rPr>
              <w:fldChar w:fldCharType="separate"/>
            </w:r>
            <w:r w:rsidR="00867F48">
              <w:rPr>
                <w:webHidden/>
              </w:rPr>
              <w:t>5</w:t>
            </w:r>
            <w:r w:rsidR="00867F48">
              <w:rPr>
                <w:webHidden/>
              </w:rPr>
              <w:fldChar w:fldCharType="end"/>
            </w:r>
          </w:hyperlink>
        </w:p>
        <w:p w14:paraId="41B9BAE6" w14:textId="68D9F969" w:rsidR="00867F48" w:rsidRDefault="00FE136F">
          <w:pPr>
            <w:pStyle w:val="TOC3"/>
            <w:tabs>
              <w:tab w:val="right" w:leader="dot" w:pos="9350"/>
            </w:tabs>
            <w:rPr>
              <w:rFonts w:eastAsiaTheme="minorEastAsia"/>
              <w:noProof/>
            </w:rPr>
          </w:pPr>
          <w:hyperlink w:anchor="_Toc59103027" w:history="1">
            <w:r w:rsidR="00867F48" w:rsidRPr="00613637">
              <w:rPr>
                <w:rStyle w:val="Hyperlink"/>
                <w:rFonts w:asciiTheme="minorBidi" w:hAnsiTheme="minorBidi"/>
                <w:b/>
                <w:bCs/>
                <w:noProof/>
                <w:color w:val="034990" w:themeColor="hyperlink" w:themeShade="BF"/>
                <w:lang w:val="en-GB"/>
              </w:rPr>
              <w:t>ROA Analysis</w:t>
            </w:r>
            <w:r w:rsidR="00867F48">
              <w:rPr>
                <w:noProof/>
                <w:webHidden/>
              </w:rPr>
              <w:tab/>
            </w:r>
            <w:r w:rsidR="00867F48">
              <w:rPr>
                <w:noProof/>
                <w:webHidden/>
              </w:rPr>
              <w:fldChar w:fldCharType="begin"/>
            </w:r>
            <w:r w:rsidR="00867F48">
              <w:rPr>
                <w:noProof/>
                <w:webHidden/>
              </w:rPr>
              <w:instrText xml:space="preserve"> PAGEREF _Toc59103027 \h </w:instrText>
            </w:r>
            <w:r w:rsidR="00867F48">
              <w:rPr>
                <w:noProof/>
                <w:webHidden/>
              </w:rPr>
            </w:r>
            <w:r w:rsidR="00867F48">
              <w:rPr>
                <w:noProof/>
                <w:webHidden/>
              </w:rPr>
              <w:fldChar w:fldCharType="separate"/>
            </w:r>
            <w:r w:rsidR="00867F48">
              <w:rPr>
                <w:noProof/>
                <w:webHidden/>
              </w:rPr>
              <w:t>5</w:t>
            </w:r>
            <w:r w:rsidR="00867F48">
              <w:rPr>
                <w:noProof/>
                <w:webHidden/>
              </w:rPr>
              <w:fldChar w:fldCharType="end"/>
            </w:r>
          </w:hyperlink>
        </w:p>
        <w:p w14:paraId="0D43E977" w14:textId="5057E87D" w:rsidR="00867F48" w:rsidRDefault="00FE136F">
          <w:pPr>
            <w:pStyle w:val="TOC3"/>
            <w:tabs>
              <w:tab w:val="right" w:leader="dot" w:pos="9350"/>
            </w:tabs>
            <w:rPr>
              <w:rFonts w:eastAsiaTheme="minorEastAsia"/>
              <w:noProof/>
            </w:rPr>
          </w:pPr>
          <w:hyperlink w:anchor="_Toc59103028" w:history="1">
            <w:r w:rsidR="00867F48" w:rsidRPr="00613637">
              <w:rPr>
                <w:rStyle w:val="Hyperlink"/>
                <w:rFonts w:asciiTheme="minorBidi" w:hAnsiTheme="minorBidi"/>
                <w:b/>
                <w:bCs/>
                <w:noProof/>
                <w:color w:val="034990" w:themeColor="hyperlink" w:themeShade="BF"/>
                <w:lang w:val="en-GB"/>
              </w:rPr>
              <w:t>ROE Analysis</w:t>
            </w:r>
            <w:r w:rsidR="00867F48">
              <w:rPr>
                <w:noProof/>
                <w:webHidden/>
              </w:rPr>
              <w:tab/>
            </w:r>
            <w:r w:rsidR="00867F48">
              <w:rPr>
                <w:noProof/>
                <w:webHidden/>
              </w:rPr>
              <w:fldChar w:fldCharType="begin"/>
            </w:r>
            <w:r w:rsidR="00867F48">
              <w:rPr>
                <w:noProof/>
                <w:webHidden/>
              </w:rPr>
              <w:instrText xml:space="preserve"> PAGEREF _Toc59103028 \h </w:instrText>
            </w:r>
            <w:r w:rsidR="00867F48">
              <w:rPr>
                <w:noProof/>
                <w:webHidden/>
              </w:rPr>
            </w:r>
            <w:r w:rsidR="00867F48">
              <w:rPr>
                <w:noProof/>
                <w:webHidden/>
              </w:rPr>
              <w:fldChar w:fldCharType="separate"/>
            </w:r>
            <w:r w:rsidR="00867F48">
              <w:rPr>
                <w:noProof/>
                <w:webHidden/>
              </w:rPr>
              <w:t>7</w:t>
            </w:r>
            <w:r w:rsidR="00867F48">
              <w:rPr>
                <w:noProof/>
                <w:webHidden/>
              </w:rPr>
              <w:fldChar w:fldCharType="end"/>
            </w:r>
          </w:hyperlink>
        </w:p>
        <w:p w14:paraId="016040E4" w14:textId="2FD68FCA" w:rsidR="00867F48" w:rsidRDefault="00FE136F">
          <w:pPr>
            <w:pStyle w:val="TOC2"/>
            <w:rPr>
              <w:rFonts w:asciiTheme="minorHAnsi" w:eastAsiaTheme="minorEastAsia" w:hAnsiTheme="minorHAnsi"/>
              <w:color w:val="auto"/>
            </w:rPr>
          </w:pPr>
          <w:hyperlink w:anchor="_Toc59103029" w:history="1">
            <w:r w:rsidR="00867F48" w:rsidRPr="00613637">
              <w:rPr>
                <w:rStyle w:val="Hyperlink"/>
                <w:rFonts w:asciiTheme="minorBidi" w:hAnsiTheme="minorBidi"/>
                <w:b/>
                <w:bCs/>
                <w:color w:val="023160" w:themeColor="hyperlink" w:themeShade="80"/>
                <w:lang w:val="en-GB" w:bidi="ar-EG"/>
              </w:rPr>
              <w:t>Industry Average</w:t>
            </w:r>
            <w:r w:rsidR="00867F48">
              <w:rPr>
                <w:webHidden/>
              </w:rPr>
              <w:tab/>
            </w:r>
            <w:r w:rsidR="00867F48">
              <w:rPr>
                <w:webHidden/>
              </w:rPr>
              <w:fldChar w:fldCharType="begin"/>
            </w:r>
            <w:r w:rsidR="00867F48">
              <w:rPr>
                <w:webHidden/>
              </w:rPr>
              <w:instrText xml:space="preserve"> PAGEREF _Toc59103029 \h </w:instrText>
            </w:r>
            <w:r w:rsidR="00867F48">
              <w:rPr>
                <w:webHidden/>
              </w:rPr>
            </w:r>
            <w:r w:rsidR="00867F48">
              <w:rPr>
                <w:webHidden/>
              </w:rPr>
              <w:fldChar w:fldCharType="separate"/>
            </w:r>
            <w:r w:rsidR="00867F48">
              <w:rPr>
                <w:webHidden/>
              </w:rPr>
              <w:t>10</w:t>
            </w:r>
            <w:r w:rsidR="00867F48">
              <w:rPr>
                <w:webHidden/>
              </w:rPr>
              <w:fldChar w:fldCharType="end"/>
            </w:r>
          </w:hyperlink>
        </w:p>
        <w:p w14:paraId="64A62951" w14:textId="6398733C" w:rsidR="00867F48" w:rsidRDefault="00FE136F">
          <w:pPr>
            <w:pStyle w:val="TOC3"/>
            <w:tabs>
              <w:tab w:val="left" w:pos="880"/>
              <w:tab w:val="right" w:leader="dot" w:pos="9350"/>
            </w:tabs>
            <w:rPr>
              <w:rFonts w:eastAsiaTheme="minorEastAsia"/>
              <w:noProof/>
            </w:rPr>
          </w:pPr>
          <w:hyperlink w:anchor="_Toc59103030" w:history="1">
            <w:r w:rsidR="00867F48" w:rsidRPr="00613637">
              <w:rPr>
                <w:rStyle w:val="Hyperlink"/>
                <w:rFonts w:asciiTheme="minorBidi" w:hAnsiTheme="minorBidi"/>
                <w:b/>
                <w:bCs/>
                <w:noProof/>
                <w:color w:val="034990" w:themeColor="hyperlink" w:themeShade="BF"/>
                <w:lang w:val="en-GB" w:bidi="ar-EG"/>
              </w:rPr>
              <w:t>1)</w:t>
            </w:r>
            <w:r w:rsidR="00867F48">
              <w:rPr>
                <w:rFonts w:eastAsiaTheme="minorEastAsia"/>
                <w:noProof/>
              </w:rPr>
              <w:tab/>
            </w:r>
            <w:r w:rsidR="00867F48" w:rsidRPr="00613637">
              <w:rPr>
                <w:rStyle w:val="Hyperlink"/>
                <w:rFonts w:asciiTheme="minorBidi" w:hAnsiTheme="minorBidi"/>
                <w:b/>
                <w:bCs/>
                <w:noProof/>
                <w:color w:val="034990" w:themeColor="hyperlink" w:themeShade="BF"/>
                <w:lang w:val="en-GB" w:bidi="ar-EG"/>
              </w:rPr>
              <w:t>ROA</w:t>
            </w:r>
            <w:r w:rsidR="00867F48">
              <w:rPr>
                <w:noProof/>
                <w:webHidden/>
              </w:rPr>
              <w:tab/>
            </w:r>
            <w:r w:rsidR="00867F48">
              <w:rPr>
                <w:noProof/>
                <w:webHidden/>
              </w:rPr>
              <w:fldChar w:fldCharType="begin"/>
            </w:r>
            <w:r w:rsidR="00867F48">
              <w:rPr>
                <w:noProof/>
                <w:webHidden/>
              </w:rPr>
              <w:instrText xml:space="preserve"> PAGEREF _Toc59103030 \h </w:instrText>
            </w:r>
            <w:r w:rsidR="00867F48">
              <w:rPr>
                <w:noProof/>
                <w:webHidden/>
              </w:rPr>
            </w:r>
            <w:r w:rsidR="00867F48">
              <w:rPr>
                <w:noProof/>
                <w:webHidden/>
              </w:rPr>
              <w:fldChar w:fldCharType="separate"/>
            </w:r>
            <w:r w:rsidR="00867F48">
              <w:rPr>
                <w:noProof/>
                <w:webHidden/>
              </w:rPr>
              <w:t>10</w:t>
            </w:r>
            <w:r w:rsidR="00867F48">
              <w:rPr>
                <w:noProof/>
                <w:webHidden/>
              </w:rPr>
              <w:fldChar w:fldCharType="end"/>
            </w:r>
          </w:hyperlink>
        </w:p>
        <w:p w14:paraId="558BF4FF" w14:textId="6C87FA92" w:rsidR="00867F48" w:rsidRDefault="00FE136F">
          <w:pPr>
            <w:pStyle w:val="TOC3"/>
            <w:tabs>
              <w:tab w:val="left" w:pos="880"/>
              <w:tab w:val="right" w:leader="dot" w:pos="9350"/>
            </w:tabs>
            <w:rPr>
              <w:rFonts w:eastAsiaTheme="minorEastAsia"/>
              <w:noProof/>
            </w:rPr>
          </w:pPr>
          <w:hyperlink w:anchor="_Toc59103031" w:history="1">
            <w:r w:rsidR="00867F48" w:rsidRPr="00613637">
              <w:rPr>
                <w:rStyle w:val="Hyperlink"/>
                <w:rFonts w:asciiTheme="minorBidi" w:hAnsiTheme="minorBidi"/>
                <w:b/>
                <w:bCs/>
                <w:noProof/>
                <w:color w:val="034990" w:themeColor="hyperlink" w:themeShade="BF"/>
                <w:lang w:bidi="ar-EG"/>
              </w:rPr>
              <w:t>2)</w:t>
            </w:r>
            <w:r w:rsidR="00867F48">
              <w:rPr>
                <w:rFonts w:eastAsiaTheme="minorEastAsia"/>
                <w:noProof/>
              </w:rPr>
              <w:tab/>
            </w:r>
            <w:r w:rsidR="00867F48" w:rsidRPr="00613637">
              <w:rPr>
                <w:rStyle w:val="Hyperlink"/>
                <w:rFonts w:asciiTheme="minorBidi" w:hAnsiTheme="minorBidi"/>
                <w:b/>
                <w:bCs/>
                <w:noProof/>
                <w:color w:val="034990" w:themeColor="hyperlink" w:themeShade="BF"/>
                <w:lang w:bidi="ar-EG"/>
              </w:rPr>
              <w:t>ROE</w:t>
            </w:r>
            <w:r w:rsidR="00867F48">
              <w:rPr>
                <w:noProof/>
                <w:webHidden/>
              </w:rPr>
              <w:tab/>
            </w:r>
            <w:r w:rsidR="00867F48">
              <w:rPr>
                <w:noProof/>
                <w:webHidden/>
              </w:rPr>
              <w:fldChar w:fldCharType="begin"/>
            </w:r>
            <w:r w:rsidR="00867F48">
              <w:rPr>
                <w:noProof/>
                <w:webHidden/>
              </w:rPr>
              <w:instrText xml:space="preserve"> PAGEREF _Toc59103031 \h </w:instrText>
            </w:r>
            <w:r w:rsidR="00867F48">
              <w:rPr>
                <w:noProof/>
                <w:webHidden/>
              </w:rPr>
            </w:r>
            <w:r w:rsidR="00867F48">
              <w:rPr>
                <w:noProof/>
                <w:webHidden/>
              </w:rPr>
              <w:fldChar w:fldCharType="separate"/>
            </w:r>
            <w:r w:rsidR="00867F48">
              <w:rPr>
                <w:noProof/>
                <w:webHidden/>
              </w:rPr>
              <w:t>11</w:t>
            </w:r>
            <w:r w:rsidR="00867F48">
              <w:rPr>
                <w:noProof/>
                <w:webHidden/>
              </w:rPr>
              <w:fldChar w:fldCharType="end"/>
            </w:r>
          </w:hyperlink>
        </w:p>
        <w:p w14:paraId="7542C781" w14:textId="3854FE87" w:rsidR="00867F48" w:rsidRDefault="00FE136F">
          <w:pPr>
            <w:pStyle w:val="TOC2"/>
            <w:rPr>
              <w:rFonts w:asciiTheme="minorHAnsi" w:eastAsiaTheme="minorEastAsia" w:hAnsiTheme="minorHAnsi"/>
              <w:color w:val="auto"/>
            </w:rPr>
          </w:pPr>
          <w:hyperlink w:anchor="_Toc59103032" w:history="1">
            <w:r w:rsidR="00867F48" w:rsidRPr="00613637">
              <w:rPr>
                <w:rStyle w:val="Hyperlink"/>
                <w:rFonts w:asciiTheme="minorBidi" w:hAnsiTheme="minorBidi"/>
                <w:b/>
                <w:bCs/>
                <w:color w:val="023160" w:themeColor="hyperlink" w:themeShade="80"/>
              </w:rPr>
              <w:t>Arab African International Bank</w:t>
            </w:r>
            <w:r w:rsidR="00867F48">
              <w:rPr>
                <w:webHidden/>
              </w:rPr>
              <w:tab/>
            </w:r>
            <w:r w:rsidR="00867F48">
              <w:rPr>
                <w:webHidden/>
              </w:rPr>
              <w:fldChar w:fldCharType="begin"/>
            </w:r>
            <w:r w:rsidR="00867F48">
              <w:rPr>
                <w:webHidden/>
              </w:rPr>
              <w:instrText xml:space="preserve"> PAGEREF _Toc59103032 \h </w:instrText>
            </w:r>
            <w:r w:rsidR="00867F48">
              <w:rPr>
                <w:webHidden/>
              </w:rPr>
            </w:r>
            <w:r w:rsidR="00867F48">
              <w:rPr>
                <w:webHidden/>
              </w:rPr>
              <w:fldChar w:fldCharType="separate"/>
            </w:r>
            <w:r w:rsidR="00867F48">
              <w:rPr>
                <w:webHidden/>
              </w:rPr>
              <w:t>12</w:t>
            </w:r>
            <w:r w:rsidR="00867F48">
              <w:rPr>
                <w:webHidden/>
              </w:rPr>
              <w:fldChar w:fldCharType="end"/>
            </w:r>
          </w:hyperlink>
        </w:p>
        <w:p w14:paraId="1DEC9D25" w14:textId="7D02C474" w:rsidR="00867F48" w:rsidRDefault="00FE136F">
          <w:pPr>
            <w:pStyle w:val="TOC3"/>
            <w:tabs>
              <w:tab w:val="right" w:leader="dot" w:pos="9350"/>
            </w:tabs>
            <w:rPr>
              <w:rFonts w:eastAsiaTheme="minorEastAsia"/>
              <w:noProof/>
            </w:rPr>
          </w:pPr>
          <w:hyperlink w:anchor="_Toc59103033" w:history="1">
            <w:r w:rsidR="00867F48" w:rsidRPr="00613637">
              <w:rPr>
                <w:rStyle w:val="Hyperlink"/>
                <w:rFonts w:asciiTheme="minorBidi" w:hAnsiTheme="minorBidi"/>
                <w:b/>
                <w:bCs/>
                <w:noProof/>
                <w:color w:val="034990" w:themeColor="hyperlink" w:themeShade="BF"/>
              </w:rPr>
              <w:t>ROA Analysis</w:t>
            </w:r>
            <w:r w:rsidR="00867F48">
              <w:rPr>
                <w:noProof/>
                <w:webHidden/>
              </w:rPr>
              <w:tab/>
            </w:r>
            <w:r w:rsidR="00867F48">
              <w:rPr>
                <w:noProof/>
                <w:webHidden/>
              </w:rPr>
              <w:fldChar w:fldCharType="begin"/>
            </w:r>
            <w:r w:rsidR="00867F48">
              <w:rPr>
                <w:noProof/>
                <w:webHidden/>
              </w:rPr>
              <w:instrText xml:space="preserve"> PAGEREF _Toc59103033 \h </w:instrText>
            </w:r>
            <w:r w:rsidR="00867F48">
              <w:rPr>
                <w:noProof/>
                <w:webHidden/>
              </w:rPr>
            </w:r>
            <w:r w:rsidR="00867F48">
              <w:rPr>
                <w:noProof/>
                <w:webHidden/>
              </w:rPr>
              <w:fldChar w:fldCharType="separate"/>
            </w:r>
            <w:r w:rsidR="00867F48">
              <w:rPr>
                <w:noProof/>
                <w:webHidden/>
              </w:rPr>
              <w:t>12</w:t>
            </w:r>
            <w:r w:rsidR="00867F48">
              <w:rPr>
                <w:noProof/>
                <w:webHidden/>
              </w:rPr>
              <w:fldChar w:fldCharType="end"/>
            </w:r>
          </w:hyperlink>
        </w:p>
        <w:p w14:paraId="195562E5" w14:textId="0B62D924" w:rsidR="00867F48" w:rsidRDefault="00FE136F">
          <w:pPr>
            <w:pStyle w:val="TOC3"/>
            <w:tabs>
              <w:tab w:val="right" w:leader="dot" w:pos="9350"/>
            </w:tabs>
            <w:rPr>
              <w:rFonts w:eastAsiaTheme="minorEastAsia"/>
              <w:noProof/>
            </w:rPr>
          </w:pPr>
          <w:hyperlink w:anchor="_Toc59103034" w:history="1">
            <w:r w:rsidR="00867F48" w:rsidRPr="00613637">
              <w:rPr>
                <w:rStyle w:val="Hyperlink"/>
                <w:rFonts w:asciiTheme="minorBidi" w:hAnsiTheme="minorBidi"/>
                <w:b/>
                <w:bCs/>
                <w:noProof/>
                <w:color w:val="034990" w:themeColor="hyperlink" w:themeShade="BF"/>
              </w:rPr>
              <w:t>ROE Analysis</w:t>
            </w:r>
            <w:r w:rsidR="00867F48">
              <w:rPr>
                <w:noProof/>
                <w:webHidden/>
              </w:rPr>
              <w:tab/>
            </w:r>
            <w:r w:rsidR="00867F48">
              <w:rPr>
                <w:noProof/>
                <w:webHidden/>
              </w:rPr>
              <w:fldChar w:fldCharType="begin"/>
            </w:r>
            <w:r w:rsidR="00867F48">
              <w:rPr>
                <w:noProof/>
                <w:webHidden/>
              </w:rPr>
              <w:instrText xml:space="preserve"> PAGEREF _Toc59103034 \h </w:instrText>
            </w:r>
            <w:r w:rsidR="00867F48">
              <w:rPr>
                <w:noProof/>
                <w:webHidden/>
              </w:rPr>
            </w:r>
            <w:r w:rsidR="00867F48">
              <w:rPr>
                <w:noProof/>
                <w:webHidden/>
              </w:rPr>
              <w:fldChar w:fldCharType="separate"/>
            </w:r>
            <w:r w:rsidR="00867F48">
              <w:rPr>
                <w:noProof/>
                <w:webHidden/>
              </w:rPr>
              <w:t>14</w:t>
            </w:r>
            <w:r w:rsidR="00867F48">
              <w:rPr>
                <w:noProof/>
                <w:webHidden/>
              </w:rPr>
              <w:fldChar w:fldCharType="end"/>
            </w:r>
          </w:hyperlink>
        </w:p>
        <w:p w14:paraId="7BBFA57B" w14:textId="51AC0466" w:rsidR="00867F48" w:rsidRDefault="00FE136F">
          <w:pPr>
            <w:pStyle w:val="TOC1"/>
            <w:tabs>
              <w:tab w:val="right" w:leader="dot" w:pos="9350"/>
            </w:tabs>
            <w:rPr>
              <w:rFonts w:eastAsiaTheme="minorEastAsia"/>
              <w:noProof/>
            </w:rPr>
          </w:pPr>
          <w:hyperlink w:anchor="_Toc59103035" w:history="1">
            <w:r w:rsidR="00867F48" w:rsidRPr="00613637">
              <w:rPr>
                <w:rStyle w:val="Hyperlink"/>
                <w:rFonts w:asciiTheme="minorBidi" w:hAnsiTheme="minorBidi"/>
                <w:b/>
                <w:bCs/>
                <w:noProof/>
              </w:rPr>
              <w:t>Cross Sectional Analysis</w:t>
            </w:r>
            <w:r w:rsidR="00867F48">
              <w:rPr>
                <w:noProof/>
                <w:webHidden/>
              </w:rPr>
              <w:tab/>
            </w:r>
            <w:r w:rsidR="00867F48">
              <w:rPr>
                <w:noProof/>
                <w:webHidden/>
              </w:rPr>
              <w:fldChar w:fldCharType="begin"/>
            </w:r>
            <w:r w:rsidR="00867F48">
              <w:rPr>
                <w:noProof/>
                <w:webHidden/>
              </w:rPr>
              <w:instrText xml:space="preserve"> PAGEREF _Toc59103035 \h </w:instrText>
            </w:r>
            <w:r w:rsidR="00867F48">
              <w:rPr>
                <w:noProof/>
                <w:webHidden/>
              </w:rPr>
            </w:r>
            <w:r w:rsidR="00867F48">
              <w:rPr>
                <w:noProof/>
                <w:webHidden/>
              </w:rPr>
              <w:fldChar w:fldCharType="separate"/>
            </w:r>
            <w:r w:rsidR="00867F48">
              <w:rPr>
                <w:noProof/>
                <w:webHidden/>
              </w:rPr>
              <w:t>17</w:t>
            </w:r>
            <w:r w:rsidR="00867F48">
              <w:rPr>
                <w:noProof/>
                <w:webHidden/>
              </w:rPr>
              <w:fldChar w:fldCharType="end"/>
            </w:r>
          </w:hyperlink>
        </w:p>
        <w:p w14:paraId="023C6C07" w14:textId="5650C336" w:rsidR="00867F48" w:rsidRDefault="00FE136F">
          <w:pPr>
            <w:pStyle w:val="TOC1"/>
            <w:tabs>
              <w:tab w:val="right" w:leader="dot" w:pos="9350"/>
            </w:tabs>
            <w:rPr>
              <w:rFonts w:eastAsiaTheme="minorEastAsia"/>
              <w:noProof/>
            </w:rPr>
          </w:pPr>
          <w:hyperlink w:anchor="_Toc59103036" w:history="1">
            <w:r w:rsidR="00867F48" w:rsidRPr="00613637">
              <w:rPr>
                <w:rStyle w:val="Hyperlink"/>
                <w:rFonts w:asciiTheme="minorBidi" w:eastAsia="Arial" w:hAnsiTheme="minorBidi"/>
                <w:b/>
                <w:bCs/>
                <w:noProof/>
              </w:rPr>
              <w:t>Risk Management Analysis</w:t>
            </w:r>
            <w:r w:rsidR="00867F48">
              <w:rPr>
                <w:noProof/>
                <w:webHidden/>
              </w:rPr>
              <w:tab/>
            </w:r>
            <w:r w:rsidR="00867F48">
              <w:rPr>
                <w:noProof/>
                <w:webHidden/>
              </w:rPr>
              <w:fldChar w:fldCharType="begin"/>
            </w:r>
            <w:r w:rsidR="00867F48">
              <w:rPr>
                <w:noProof/>
                <w:webHidden/>
              </w:rPr>
              <w:instrText xml:space="preserve"> PAGEREF _Toc59103036 \h </w:instrText>
            </w:r>
            <w:r w:rsidR="00867F48">
              <w:rPr>
                <w:noProof/>
                <w:webHidden/>
              </w:rPr>
            </w:r>
            <w:r w:rsidR="00867F48">
              <w:rPr>
                <w:noProof/>
                <w:webHidden/>
              </w:rPr>
              <w:fldChar w:fldCharType="separate"/>
            </w:r>
            <w:r w:rsidR="00867F48">
              <w:rPr>
                <w:noProof/>
                <w:webHidden/>
              </w:rPr>
              <w:t>21</w:t>
            </w:r>
            <w:r w:rsidR="00867F48">
              <w:rPr>
                <w:noProof/>
                <w:webHidden/>
              </w:rPr>
              <w:fldChar w:fldCharType="end"/>
            </w:r>
          </w:hyperlink>
        </w:p>
        <w:p w14:paraId="63090442" w14:textId="4A4705B5" w:rsidR="00867F48" w:rsidRDefault="00FE136F">
          <w:pPr>
            <w:pStyle w:val="TOC2"/>
            <w:rPr>
              <w:rFonts w:asciiTheme="minorHAnsi" w:eastAsiaTheme="minorEastAsia" w:hAnsiTheme="minorHAnsi"/>
              <w:color w:val="auto"/>
            </w:rPr>
          </w:pPr>
          <w:hyperlink w:anchor="_Toc59103037" w:history="1">
            <w:r w:rsidR="00867F48" w:rsidRPr="00613637">
              <w:rPr>
                <w:rStyle w:val="Hyperlink"/>
                <w:rFonts w:asciiTheme="minorBidi" w:hAnsiTheme="minorBidi"/>
                <w:b/>
                <w:bCs/>
                <w:color w:val="023160" w:themeColor="hyperlink" w:themeShade="80"/>
              </w:rPr>
              <w:t>Liquidity Risks</w:t>
            </w:r>
            <w:r w:rsidR="00867F48">
              <w:rPr>
                <w:webHidden/>
              </w:rPr>
              <w:tab/>
            </w:r>
            <w:r w:rsidR="00867F48">
              <w:rPr>
                <w:webHidden/>
              </w:rPr>
              <w:fldChar w:fldCharType="begin"/>
            </w:r>
            <w:r w:rsidR="00867F48">
              <w:rPr>
                <w:webHidden/>
              </w:rPr>
              <w:instrText xml:space="preserve"> PAGEREF _Toc59103037 \h </w:instrText>
            </w:r>
            <w:r w:rsidR="00867F48">
              <w:rPr>
                <w:webHidden/>
              </w:rPr>
            </w:r>
            <w:r w:rsidR="00867F48">
              <w:rPr>
                <w:webHidden/>
              </w:rPr>
              <w:fldChar w:fldCharType="separate"/>
            </w:r>
            <w:r w:rsidR="00867F48">
              <w:rPr>
                <w:webHidden/>
              </w:rPr>
              <w:t>21</w:t>
            </w:r>
            <w:r w:rsidR="00867F48">
              <w:rPr>
                <w:webHidden/>
              </w:rPr>
              <w:fldChar w:fldCharType="end"/>
            </w:r>
          </w:hyperlink>
        </w:p>
        <w:p w14:paraId="6BF54F43" w14:textId="184186CE" w:rsidR="00867F48" w:rsidRDefault="00FE136F">
          <w:pPr>
            <w:pStyle w:val="TOC2"/>
            <w:rPr>
              <w:rFonts w:asciiTheme="minorHAnsi" w:eastAsiaTheme="minorEastAsia" w:hAnsiTheme="minorHAnsi"/>
              <w:color w:val="auto"/>
            </w:rPr>
          </w:pPr>
          <w:hyperlink w:anchor="_Toc59103038" w:history="1">
            <w:r w:rsidR="00867F48" w:rsidRPr="00613637">
              <w:rPr>
                <w:rStyle w:val="Hyperlink"/>
                <w:rFonts w:asciiTheme="minorBidi" w:hAnsiTheme="minorBidi"/>
                <w:b/>
                <w:bCs/>
                <w:color w:val="023160" w:themeColor="hyperlink" w:themeShade="80"/>
              </w:rPr>
              <w:t>Operational Risk</w:t>
            </w:r>
            <w:r w:rsidR="00867F48">
              <w:rPr>
                <w:webHidden/>
              </w:rPr>
              <w:tab/>
            </w:r>
            <w:r w:rsidR="00867F48">
              <w:rPr>
                <w:webHidden/>
              </w:rPr>
              <w:fldChar w:fldCharType="begin"/>
            </w:r>
            <w:r w:rsidR="00867F48">
              <w:rPr>
                <w:webHidden/>
              </w:rPr>
              <w:instrText xml:space="preserve"> PAGEREF _Toc59103038 \h </w:instrText>
            </w:r>
            <w:r w:rsidR="00867F48">
              <w:rPr>
                <w:webHidden/>
              </w:rPr>
            </w:r>
            <w:r w:rsidR="00867F48">
              <w:rPr>
                <w:webHidden/>
              </w:rPr>
              <w:fldChar w:fldCharType="separate"/>
            </w:r>
            <w:r w:rsidR="00867F48">
              <w:rPr>
                <w:webHidden/>
              </w:rPr>
              <w:t>22</w:t>
            </w:r>
            <w:r w:rsidR="00867F48">
              <w:rPr>
                <w:webHidden/>
              </w:rPr>
              <w:fldChar w:fldCharType="end"/>
            </w:r>
          </w:hyperlink>
        </w:p>
        <w:p w14:paraId="3CEEB4C7" w14:textId="40FF5107" w:rsidR="00867F48" w:rsidRDefault="00FE136F">
          <w:pPr>
            <w:pStyle w:val="TOC2"/>
            <w:rPr>
              <w:rFonts w:asciiTheme="minorHAnsi" w:eastAsiaTheme="minorEastAsia" w:hAnsiTheme="minorHAnsi"/>
              <w:color w:val="auto"/>
            </w:rPr>
          </w:pPr>
          <w:hyperlink w:anchor="_Toc59103039" w:history="1">
            <w:r w:rsidR="00867F48" w:rsidRPr="00613637">
              <w:rPr>
                <w:rStyle w:val="Hyperlink"/>
                <w:rFonts w:asciiTheme="minorBidi" w:hAnsiTheme="minorBidi"/>
                <w:b/>
                <w:bCs/>
                <w:color w:val="023160" w:themeColor="hyperlink" w:themeShade="80"/>
              </w:rPr>
              <w:t>The Overall Management Risk</w:t>
            </w:r>
            <w:r w:rsidR="00867F48">
              <w:rPr>
                <w:webHidden/>
              </w:rPr>
              <w:tab/>
            </w:r>
            <w:r w:rsidR="00867F48">
              <w:rPr>
                <w:webHidden/>
              </w:rPr>
              <w:fldChar w:fldCharType="begin"/>
            </w:r>
            <w:r w:rsidR="00867F48">
              <w:rPr>
                <w:webHidden/>
              </w:rPr>
              <w:instrText xml:space="preserve"> PAGEREF _Toc59103039 \h </w:instrText>
            </w:r>
            <w:r w:rsidR="00867F48">
              <w:rPr>
                <w:webHidden/>
              </w:rPr>
            </w:r>
            <w:r w:rsidR="00867F48">
              <w:rPr>
                <w:webHidden/>
              </w:rPr>
              <w:fldChar w:fldCharType="separate"/>
            </w:r>
            <w:r w:rsidR="00867F48">
              <w:rPr>
                <w:webHidden/>
              </w:rPr>
              <w:t>22</w:t>
            </w:r>
            <w:r w:rsidR="00867F48">
              <w:rPr>
                <w:webHidden/>
              </w:rPr>
              <w:fldChar w:fldCharType="end"/>
            </w:r>
          </w:hyperlink>
        </w:p>
        <w:p w14:paraId="2C99FE73" w14:textId="40FA30B5" w:rsidR="00867F48" w:rsidRDefault="00FE136F">
          <w:pPr>
            <w:pStyle w:val="TOC2"/>
            <w:rPr>
              <w:rFonts w:asciiTheme="minorHAnsi" w:eastAsiaTheme="minorEastAsia" w:hAnsiTheme="minorHAnsi"/>
              <w:color w:val="auto"/>
            </w:rPr>
          </w:pPr>
          <w:hyperlink w:anchor="_Toc59103040" w:history="1">
            <w:r w:rsidR="00867F48" w:rsidRPr="00613637">
              <w:rPr>
                <w:rStyle w:val="Hyperlink"/>
                <w:rFonts w:asciiTheme="minorBidi" w:hAnsiTheme="minorBidi"/>
                <w:b/>
                <w:bCs/>
                <w:color w:val="023160" w:themeColor="hyperlink" w:themeShade="80"/>
              </w:rPr>
              <w:t>The Earning Spread</w:t>
            </w:r>
            <w:r w:rsidR="00867F48">
              <w:rPr>
                <w:webHidden/>
              </w:rPr>
              <w:tab/>
            </w:r>
            <w:r w:rsidR="00867F48">
              <w:rPr>
                <w:webHidden/>
              </w:rPr>
              <w:fldChar w:fldCharType="begin"/>
            </w:r>
            <w:r w:rsidR="00867F48">
              <w:rPr>
                <w:webHidden/>
              </w:rPr>
              <w:instrText xml:space="preserve"> PAGEREF _Toc59103040 \h </w:instrText>
            </w:r>
            <w:r w:rsidR="00867F48">
              <w:rPr>
                <w:webHidden/>
              </w:rPr>
            </w:r>
            <w:r w:rsidR="00867F48">
              <w:rPr>
                <w:webHidden/>
              </w:rPr>
              <w:fldChar w:fldCharType="separate"/>
            </w:r>
            <w:r w:rsidR="00867F48">
              <w:rPr>
                <w:webHidden/>
              </w:rPr>
              <w:t>24</w:t>
            </w:r>
            <w:r w:rsidR="00867F48">
              <w:rPr>
                <w:webHidden/>
              </w:rPr>
              <w:fldChar w:fldCharType="end"/>
            </w:r>
          </w:hyperlink>
        </w:p>
        <w:p w14:paraId="2AC3588C" w14:textId="04A12636" w:rsidR="00867F48" w:rsidRDefault="00FE136F">
          <w:pPr>
            <w:pStyle w:val="TOC2"/>
            <w:rPr>
              <w:rFonts w:asciiTheme="minorHAnsi" w:eastAsiaTheme="minorEastAsia" w:hAnsiTheme="minorHAnsi"/>
              <w:color w:val="auto"/>
            </w:rPr>
          </w:pPr>
          <w:hyperlink w:anchor="_Toc59103041" w:history="1">
            <w:r w:rsidR="00867F48" w:rsidRPr="00613637">
              <w:rPr>
                <w:rStyle w:val="Hyperlink"/>
                <w:rFonts w:asciiTheme="minorBidi" w:hAnsiTheme="minorBidi"/>
                <w:b/>
                <w:bCs/>
                <w:color w:val="023160" w:themeColor="hyperlink" w:themeShade="80"/>
              </w:rPr>
              <w:t>Credit risk</w:t>
            </w:r>
            <w:r w:rsidR="00867F48">
              <w:rPr>
                <w:webHidden/>
              </w:rPr>
              <w:tab/>
            </w:r>
            <w:r w:rsidR="00867F48">
              <w:rPr>
                <w:webHidden/>
              </w:rPr>
              <w:fldChar w:fldCharType="begin"/>
            </w:r>
            <w:r w:rsidR="00867F48">
              <w:rPr>
                <w:webHidden/>
              </w:rPr>
              <w:instrText xml:space="preserve"> PAGEREF _Toc59103041 \h </w:instrText>
            </w:r>
            <w:r w:rsidR="00867F48">
              <w:rPr>
                <w:webHidden/>
              </w:rPr>
            </w:r>
            <w:r w:rsidR="00867F48">
              <w:rPr>
                <w:webHidden/>
              </w:rPr>
              <w:fldChar w:fldCharType="separate"/>
            </w:r>
            <w:r w:rsidR="00867F48">
              <w:rPr>
                <w:webHidden/>
              </w:rPr>
              <w:t>25</w:t>
            </w:r>
            <w:r w:rsidR="00867F48">
              <w:rPr>
                <w:webHidden/>
              </w:rPr>
              <w:fldChar w:fldCharType="end"/>
            </w:r>
          </w:hyperlink>
        </w:p>
        <w:p w14:paraId="2328B360" w14:textId="50D3EC15" w:rsidR="00867F48" w:rsidRDefault="00FE136F">
          <w:pPr>
            <w:pStyle w:val="TOC1"/>
            <w:tabs>
              <w:tab w:val="right" w:leader="dot" w:pos="9350"/>
            </w:tabs>
            <w:rPr>
              <w:rFonts w:eastAsiaTheme="minorEastAsia"/>
              <w:noProof/>
            </w:rPr>
          </w:pPr>
          <w:hyperlink w:anchor="_Toc59103042" w:history="1">
            <w:r w:rsidR="00867F48" w:rsidRPr="00613637">
              <w:rPr>
                <w:rStyle w:val="Hyperlink"/>
                <w:rFonts w:asciiTheme="minorBidi" w:hAnsiTheme="minorBidi"/>
                <w:b/>
                <w:bCs/>
                <w:noProof/>
                <w:lang w:bidi="ar-EG"/>
              </w:rPr>
              <w:t>Conclusion and Recommendation</w:t>
            </w:r>
            <w:r w:rsidR="00867F48">
              <w:rPr>
                <w:noProof/>
                <w:webHidden/>
              </w:rPr>
              <w:tab/>
            </w:r>
            <w:r w:rsidR="00867F48">
              <w:rPr>
                <w:noProof/>
                <w:webHidden/>
              </w:rPr>
              <w:fldChar w:fldCharType="begin"/>
            </w:r>
            <w:r w:rsidR="00867F48">
              <w:rPr>
                <w:noProof/>
                <w:webHidden/>
              </w:rPr>
              <w:instrText xml:space="preserve"> PAGEREF _Toc59103042 \h </w:instrText>
            </w:r>
            <w:r w:rsidR="00867F48">
              <w:rPr>
                <w:noProof/>
                <w:webHidden/>
              </w:rPr>
            </w:r>
            <w:r w:rsidR="00867F48">
              <w:rPr>
                <w:noProof/>
                <w:webHidden/>
              </w:rPr>
              <w:fldChar w:fldCharType="separate"/>
            </w:r>
            <w:r w:rsidR="00867F48">
              <w:rPr>
                <w:noProof/>
                <w:webHidden/>
              </w:rPr>
              <w:t>30</w:t>
            </w:r>
            <w:r w:rsidR="00867F48">
              <w:rPr>
                <w:noProof/>
                <w:webHidden/>
              </w:rPr>
              <w:fldChar w:fldCharType="end"/>
            </w:r>
          </w:hyperlink>
        </w:p>
        <w:p w14:paraId="6B762C69" w14:textId="609F4F4E" w:rsidR="00867F48" w:rsidRDefault="00FE136F">
          <w:pPr>
            <w:pStyle w:val="TOC1"/>
            <w:tabs>
              <w:tab w:val="right" w:leader="dot" w:pos="9350"/>
            </w:tabs>
            <w:rPr>
              <w:rFonts w:eastAsiaTheme="minorEastAsia"/>
              <w:noProof/>
            </w:rPr>
          </w:pPr>
          <w:hyperlink w:anchor="_Toc59103043" w:history="1">
            <w:r w:rsidR="00867F48" w:rsidRPr="00613637">
              <w:rPr>
                <w:rStyle w:val="Hyperlink"/>
                <w:rFonts w:asciiTheme="minorBidi" w:hAnsiTheme="minorBidi"/>
                <w:b/>
                <w:bCs/>
                <w:noProof/>
              </w:rPr>
              <w:t>References</w:t>
            </w:r>
            <w:r w:rsidR="00867F48">
              <w:rPr>
                <w:noProof/>
                <w:webHidden/>
              </w:rPr>
              <w:tab/>
            </w:r>
            <w:r w:rsidR="00867F48">
              <w:rPr>
                <w:noProof/>
                <w:webHidden/>
              </w:rPr>
              <w:fldChar w:fldCharType="begin"/>
            </w:r>
            <w:r w:rsidR="00867F48">
              <w:rPr>
                <w:noProof/>
                <w:webHidden/>
              </w:rPr>
              <w:instrText xml:space="preserve"> PAGEREF _Toc59103043 \h </w:instrText>
            </w:r>
            <w:r w:rsidR="00867F48">
              <w:rPr>
                <w:noProof/>
                <w:webHidden/>
              </w:rPr>
            </w:r>
            <w:r w:rsidR="00867F48">
              <w:rPr>
                <w:noProof/>
                <w:webHidden/>
              </w:rPr>
              <w:fldChar w:fldCharType="separate"/>
            </w:r>
            <w:r w:rsidR="00867F48">
              <w:rPr>
                <w:noProof/>
                <w:webHidden/>
              </w:rPr>
              <w:t>31</w:t>
            </w:r>
            <w:r w:rsidR="00867F48">
              <w:rPr>
                <w:noProof/>
                <w:webHidden/>
              </w:rPr>
              <w:fldChar w:fldCharType="end"/>
            </w:r>
          </w:hyperlink>
        </w:p>
        <w:p w14:paraId="3F5F30BA" w14:textId="2F929D60" w:rsidR="008A7F13" w:rsidRDefault="00537080">
          <w:r>
            <w:rPr>
              <w:b/>
              <w:bCs/>
              <w:noProof/>
            </w:rPr>
            <w:fldChar w:fldCharType="end"/>
          </w:r>
        </w:p>
      </w:sdtContent>
    </w:sdt>
    <w:p w14:paraId="16449B5F" w14:textId="476D1EBD" w:rsidR="005D1530" w:rsidRDefault="005D1530" w:rsidP="00A62006">
      <w:pPr>
        <w:pStyle w:val="Heading1"/>
      </w:pPr>
    </w:p>
    <w:p w14:paraId="54DE5CB6" w14:textId="702AAA63" w:rsidR="002206CC" w:rsidRPr="005D1530" w:rsidRDefault="003F38A0" w:rsidP="005D1530">
      <w:pPr>
        <w:rPr>
          <w:rFonts w:asciiTheme="majorHAnsi" w:eastAsiaTheme="majorEastAsia" w:hAnsiTheme="majorHAnsi" w:cstheme="majorBidi"/>
          <w:color w:val="2F5496" w:themeColor="accent1" w:themeShade="BF"/>
          <w:sz w:val="32"/>
          <w:szCs w:val="32"/>
        </w:rPr>
      </w:pPr>
      <w:r>
        <w:br w:type="page"/>
      </w:r>
    </w:p>
    <w:p w14:paraId="1FB47BEC" w14:textId="18AA83CD" w:rsidR="00111F31" w:rsidRDefault="005D1530" w:rsidP="00111F31">
      <w:pPr>
        <w:pStyle w:val="Heading1"/>
        <w:jc w:val="center"/>
        <w:rPr>
          <w:rFonts w:asciiTheme="minorBidi" w:hAnsiTheme="minorBidi" w:cstheme="minorBidi"/>
          <w:b/>
          <w:bCs/>
          <w:color w:val="FF0000"/>
          <w:sz w:val="36"/>
          <w:szCs w:val="36"/>
        </w:rPr>
      </w:pPr>
      <w:bookmarkStart w:id="0" w:name="_Toc59103021"/>
      <w:r>
        <w:rPr>
          <w:rFonts w:asciiTheme="minorBidi" w:hAnsiTheme="minorBidi" w:cstheme="minorBidi"/>
          <w:b/>
          <w:bCs/>
          <w:color w:val="FF0000"/>
          <w:sz w:val="36"/>
          <w:szCs w:val="36"/>
        </w:rPr>
        <w:lastRenderedPageBreak/>
        <w:t xml:space="preserve">Executive </w:t>
      </w:r>
      <w:r w:rsidR="00111F31">
        <w:rPr>
          <w:rFonts w:asciiTheme="minorBidi" w:hAnsiTheme="minorBidi" w:cstheme="minorBidi"/>
          <w:b/>
          <w:bCs/>
          <w:color w:val="FF0000"/>
          <w:sz w:val="36"/>
          <w:szCs w:val="36"/>
        </w:rPr>
        <w:t>Summary</w:t>
      </w:r>
      <w:bookmarkEnd w:id="0"/>
    </w:p>
    <w:p w14:paraId="22C1537C" w14:textId="77777777" w:rsidR="005D1530" w:rsidRDefault="005D1530" w:rsidP="005D1530">
      <w:pPr>
        <w:rPr>
          <w:rFonts w:asciiTheme="minorBidi" w:hAnsiTheme="minorBidi"/>
          <w:sz w:val="24"/>
          <w:szCs w:val="24"/>
        </w:rPr>
      </w:pPr>
      <w:r w:rsidRPr="005D1530">
        <w:rPr>
          <w:rFonts w:asciiTheme="minorBidi" w:hAnsiTheme="minorBidi"/>
          <w:sz w:val="24"/>
          <w:szCs w:val="24"/>
        </w:rPr>
        <w:t>The economy includes an important section that is called the banking sector, as it is devoted to the holding of others’ financial assets, and the way to invest these financial assets, also it indicates the performance of the economy though the banks’ activities and the market’s interest rates. AAIB (Arab African International Bank), the Special Law established this bank as a Joint Venture between the Central Bank of Egypt (CBE) and Kuwait Investment Authority (KIA), and was incorporated in 1964 as Egypt's first Arab multinational Bank. QNB ALAHLI is one of the leading financial institutions in Egypt. QNB has services that provides them for more than 1,220,562 clients served by + 6,714 banking professionals with a network of 229 branches, along with 516 ATMs &amp; +40,408 Point-of-Sale to serve clients nationwide. Further, a distinctive Call center operates round the clock 7 days a week.</w:t>
      </w:r>
    </w:p>
    <w:p w14:paraId="321187DF" w14:textId="3D87EDFA" w:rsidR="005D1530" w:rsidRPr="005D1530" w:rsidRDefault="005D1530" w:rsidP="005D1530">
      <w:pPr>
        <w:rPr>
          <w:rFonts w:asciiTheme="minorBidi" w:hAnsiTheme="minorBidi"/>
          <w:sz w:val="24"/>
          <w:szCs w:val="24"/>
        </w:rPr>
      </w:pPr>
      <w:r w:rsidRPr="005D1530">
        <w:rPr>
          <w:rFonts w:asciiTheme="minorBidi" w:hAnsiTheme="minorBidi"/>
          <w:sz w:val="24"/>
          <w:szCs w:val="24"/>
        </w:rPr>
        <w:t xml:space="preserve">Accordingly, this report shows and analyzes the performance of two banks. Accordingly, there are some recommendations that provided to help both banks for trying to overcome the weaknesses, barriers and outperform during the coming years. </w:t>
      </w:r>
    </w:p>
    <w:p w14:paraId="60454C21" w14:textId="659635EC" w:rsidR="002206CC" w:rsidRDefault="005D1530" w:rsidP="005D1530">
      <w:r w:rsidRPr="005D1530">
        <w:rPr>
          <w:rFonts w:asciiTheme="minorBidi" w:hAnsiTheme="minorBidi"/>
          <w:sz w:val="24"/>
          <w:szCs w:val="24"/>
        </w:rPr>
        <w:t>This report will go through a deep decompositions and comparisons between the two banks and the industry averages.</w:t>
      </w:r>
      <w:r w:rsidR="002206CC">
        <w:br w:type="page"/>
      </w:r>
    </w:p>
    <w:p w14:paraId="2BA440B4" w14:textId="71979BEA" w:rsidR="003F38A0" w:rsidRPr="003F38A0" w:rsidRDefault="003F38A0" w:rsidP="003F38A0">
      <w:pPr>
        <w:pStyle w:val="Heading1"/>
        <w:jc w:val="center"/>
        <w:rPr>
          <w:rFonts w:asciiTheme="minorBidi" w:hAnsiTheme="minorBidi" w:cstheme="minorBidi"/>
          <w:b/>
          <w:bCs/>
        </w:rPr>
      </w:pPr>
      <w:bookmarkStart w:id="1" w:name="_Toc59103022"/>
      <w:r w:rsidRPr="003F38A0">
        <w:rPr>
          <w:rFonts w:asciiTheme="minorBidi" w:hAnsiTheme="minorBidi" w:cstheme="minorBidi"/>
          <w:b/>
          <w:bCs/>
          <w:color w:val="FF0000"/>
          <w:sz w:val="36"/>
          <w:szCs w:val="36"/>
        </w:rPr>
        <w:lastRenderedPageBreak/>
        <w:t>Introduction</w:t>
      </w:r>
      <w:bookmarkEnd w:id="1"/>
    </w:p>
    <w:p w14:paraId="5752FD0D" w14:textId="77777777" w:rsidR="003F38A0" w:rsidRPr="003F38A0" w:rsidRDefault="003F38A0" w:rsidP="003F38A0">
      <w:pPr>
        <w:pStyle w:val="Heading2"/>
        <w:rPr>
          <w:rFonts w:asciiTheme="minorBidi" w:hAnsiTheme="minorBidi" w:cstheme="minorBidi"/>
          <w:b/>
          <w:bCs/>
          <w:color w:val="1F3864" w:themeColor="accent1" w:themeShade="80"/>
          <w:sz w:val="28"/>
          <w:szCs w:val="28"/>
        </w:rPr>
      </w:pPr>
      <w:bookmarkStart w:id="2" w:name="_Toc59103023"/>
      <w:r w:rsidRPr="003F38A0">
        <w:rPr>
          <w:rFonts w:asciiTheme="minorBidi" w:hAnsiTheme="minorBidi" w:cstheme="minorBidi"/>
          <w:b/>
          <w:bCs/>
          <w:color w:val="1F3864" w:themeColor="accent1" w:themeShade="80"/>
          <w:sz w:val="28"/>
          <w:szCs w:val="28"/>
        </w:rPr>
        <w:t>Qatar National Bank</w:t>
      </w:r>
      <w:bookmarkEnd w:id="2"/>
    </w:p>
    <w:p w14:paraId="25C2B663" w14:textId="77777777" w:rsidR="003F38A0" w:rsidRDefault="003F38A0" w:rsidP="003F38A0">
      <w:pPr>
        <w:rPr>
          <w:rFonts w:asciiTheme="minorBidi" w:hAnsiTheme="minorBidi"/>
          <w:sz w:val="24"/>
          <w:szCs w:val="24"/>
        </w:rPr>
      </w:pPr>
      <w:r>
        <w:rPr>
          <w:rFonts w:asciiTheme="minorBidi" w:hAnsiTheme="minorBidi"/>
          <w:sz w:val="24"/>
          <w:szCs w:val="24"/>
        </w:rPr>
        <w:t xml:space="preserve">QNB is a Qatari commercial bank which was founded in 1964 and headquartered in Qatar and has associates and </w:t>
      </w:r>
      <w:r w:rsidRPr="00B35901">
        <w:rPr>
          <w:rFonts w:asciiTheme="minorBidi" w:hAnsiTheme="minorBidi"/>
          <w:sz w:val="24"/>
          <w:szCs w:val="24"/>
        </w:rPr>
        <w:t>subsidiari</w:t>
      </w:r>
      <w:r>
        <w:rPr>
          <w:rFonts w:asciiTheme="minorBidi" w:hAnsiTheme="minorBidi"/>
          <w:sz w:val="24"/>
          <w:szCs w:val="24"/>
        </w:rPr>
        <w:t>es</w:t>
      </w:r>
      <w:r w:rsidRPr="00B35901">
        <w:rPr>
          <w:rFonts w:asciiTheme="minorBidi" w:hAnsiTheme="minorBidi"/>
          <w:sz w:val="24"/>
          <w:szCs w:val="24"/>
        </w:rPr>
        <w:t xml:space="preserve"> in 31 countries</w:t>
      </w:r>
      <w:r>
        <w:rPr>
          <w:rFonts w:asciiTheme="minorBidi" w:hAnsiTheme="minorBidi"/>
          <w:sz w:val="24"/>
          <w:szCs w:val="24"/>
        </w:rPr>
        <w:t xml:space="preserve"> such as QNB ALAHLI, QNB Indonesia, QNB India and QNB Paris</w:t>
      </w:r>
      <w:sdt>
        <w:sdtPr>
          <w:rPr>
            <w:rFonts w:asciiTheme="minorBidi" w:hAnsiTheme="minorBidi"/>
            <w:sz w:val="24"/>
            <w:szCs w:val="24"/>
          </w:rPr>
          <w:id w:val="-1148593627"/>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QNB1 \l 1033 </w:instrText>
          </w:r>
          <w:r>
            <w:rPr>
              <w:rFonts w:asciiTheme="minorBidi" w:hAnsiTheme="minorBidi"/>
              <w:sz w:val="24"/>
              <w:szCs w:val="24"/>
            </w:rPr>
            <w:fldChar w:fldCharType="separate"/>
          </w:r>
          <w:r>
            <w:rPr>
              <w:rFonts w:asciiTheme="minorBidi" w:hAnsiTheme="minorBidi"/>
              <w:noProof/>
              <w:sz w:val="24"/>
              <w:szCs w:val="24"/>
            </w:rPr>
            <w:t xml:space="preserve"> </w:t>
          </w:r>
          <w:r w:rsidRPr="00836BCE">
            <w:rPr>
              <w:rFonts w:asciiTheme="minorBidi" w:hAnsiTheme="minorBidi"/>
              <w:noProof/>
              <w:sz w:val="24"/>
              <w:szCs w:val="24"/>
            </w:rPr>
            <w:t>(QNB, n.d.)</w:t>
          </w:r>
          <w:r>
            <w:rPr>
              <w:rFonts w:asciiTheme="minorBidi" w:hAnsiTheme="minorBidi"/>
              <w:sz w:val="24"/>
              <w:szCs w:val="24"/>
            </w:rPr>
            <w:fldChar w:fldCharType="end"/>
          </w:r>
        </w:sdtContent>
      </w:sdt>
      <w:r>
        <w:rPr>
          <w:rFonts w:asciiTheme="minorBidi" w:hAnsiTheme="minorBidi"/>
          <w:sz w:val="24"/>
          <w:szCs w:val="24"/>
        </w:rPr>
        <w:t xml:space="preserve">. QNB </w:t>
      </w:r>
      <w:proofErr w:type="spellStart"/>
      <w:r>
        <w:rPr>
          <w:rFonts w:asciiTheme="minorBidi" w:hAnsiTheme="minorBidi"/>
          <w:sz w:val="24"/>
          <w:szCs w:val="24"/>
        </w:rPr>
        <w:t>AlAHLI</w:t>
      </w:r>
      <w:proofErr w:type="spellEnd"/>
      <w:r>
        <w:rPr>
          <w:rFonts w:asciiTheme="minorBidi" w:hAnsiTheme="minorBidi"/>
          <w:sz w:val="24"/>
          <w:szCs w:val="24"/>
        </w:rPr>
        <w:t xml:space="preserve"> established in Egypt in 1978 and it is one of the biggest financial institutions and listed to be the second biggest private bank in Egypt. It also</w:t>
      </w:r>
      <w:r w:rsidRPr="00276E66">
        <w:rPr>
          <w:rFonts w:asciiTheme="minorBidi" w:hAnsiTheme="minorBidi"/>
          <w:sz w:val="24"/>
          <w:szCs w:val="24"/>
        </w:rPr>
        <w:t xml:space="preserve"> offers its services with a network of 229 branches to more than 1,220,562 customers served</w:t>
      </w:r>
      <w:r>
        <w:rPr>
          <w:rFonts w:asciiTheme="minorBidi" w:hAnsiTheme="minorBidi"/>
          <w:sz w:val="24"/>
          <w:szCs w:val="24"/>
        </w:rPr>
        <w:t xml:space="preserve"> </w:t>
      </w:r>
      <w:r w:rsidRPr="00276E66">
        <w:rPr>
          <w:rFonts w:asciiTheme="minorBidi" w:hAnsiTheme="minorBidi"/>
          <w:sz w:val="24"/>
          <w:szCs w:val="24"/>
        </w:rPr>
        <w:t>by</w:t>
      </w:r>
      <w:r>
        <w:rPr>
          <w:rFonts w:asciiTheme="minorBidi" w:hAnsiTheme="minorBidi"/>
          <w:sz w:val="24"/>
          <w:szCs w:val="24"/>
        </w:rPr>
        <w:t xml:space="preserve"> nearly</w:t>
      </w:r>
      <w:r w:rsidRPr="00276E66">
        <w:rPr>
          <w:rFonts w:asciiTheme="minorBidi" w:hAnsiTheme="minorBidi"/>
          <w:sz w:val="24"/>
          <w:szCs w:val="24"/>
        </w:rPr>
        <w:t xml:space="preserve"> 6,714 banking professionals, along with 516 ATMs </w:t>
      </w:r>
      <w:r>
        <w:rPr>
          <w:rFonts w:asciiTheme="minorBidi" w:hAnsiTheme="minorBidi"/>
          <w:sz w:val="24"/>
          <w:szCs w:val="24"/>
        </w:rPr>
        <w:t>and</w:t>
      </w:r>
      <w:r w:rsidRPr="00276E66">
        <w:rPr>
          <w:rFonts w:asciiTheme="minorBidi" w:hAnsiTheme="minorBidi"/>
          <w:sz w:val="24"/>
          <w:szCs w:val="24"/>
        </w:rPr>
        <w:t xml:space="preserve"> </w:t>
      </w:r>
      <w:r>
        <w:rPr>
          <w:rFonts w:asciiTheme="minorBidi" w:hAnsiTheme="minorBidi"/>
          <w:sz w:val="24"/>
          <w:szCs w:val="24"/>
        </w:rPr>
        <w:t>approximately</w:t>
      </w:r>
      <w:r w:rsidRPr="00276E66">
        <w:rPr>
          <w:rFonts w:asciiTheme="minorBidi" w:hAnsiTheme="minorBidi"/>
          <w:sz w:val="24"/>
          <w:szCs w:val="24"/>
        </w:rPr>
        <w:t xml:space="preserve"> 40,408 Point-of-Sale to serve customers </w:t>
      </w:r>
      <w:r>
        <w:rPr>
          <w:rFonts w:asciiTheme="minorBidi" w:hAnsiTheme="minorBidi"/>
          <w:sz w:val="24"/>
          <w:szCs w:val="24"/>
        </w:rPr>
        <w:t xml:space="preserve">nationwide. </w:t>
      </w:r>
      <w:r w:rsidRPr="00276E66">
        <w:rPr>
          <w:rFonts w:asciiTheme="minorBidi" w:hAnsiTheme="minorBidi"/>
          <w:sz w:val="24"/>
          <w:szCs w:val="24"/>
        </w:rPr>
        <w:t>In addition, 7 days a week a</w:t>
      </w:r>
      <w:r>
        <w:rPr>
          <w:rFonts w:asciiTheme="minorBidi" w:hAnsiTheme="minorBidi"/>
          <w:sz w:val="24"/>
          <w:szCs w:val="24"/>
        </w:rPr>
        <w:t xml:space="preserve"> </w:t>
      </w:r>
      <w:r w:rsidRPr="00276E66">
        <w:rPr>
          <w:rFonts w:asciiTheme="minorBidi" w:hAnsiTheme="minorBidi"/>
          <w:sz w:val="24"/>
          <w:szCs w:val="24"/>
        </w:rPr>
        <w:t>distinctive call cent</w:t>
      </w:r>
      <w:r>
        <w:rPr>
          <w:rFonts w:asciiTheme="minorBidi" w:hAnsiTheme="minorBidi"/>
          <w:sz w:val="24"/>
          <w:szCs w:val="24"/>
        </w:rPr>
        <w:t>er</w:t>
      </w:r>
      <w:r w:rsidRPr="00276E66">
        <w:rPr>
          <w:rFonts w:asciiTheme="minorBidi" w:hAnsiTheme="minorBidi"/>
          <w:sz w:val="24"/>
          <w:szCs w:val="24"/>
        </w:rPr>
        <w:t xml:space="preserve"> operates around the clock.</w:t>
      </w:r>
      <w:r>
        <w:rPr>
          <w:rFonts w:asciiTheme="minorBidi" w:hAnsiTheme="minorBidi"/>
          <w:sz w:val="24"/>
          <w:szCs w:val="24"/>
        </w:rPr>
        <w:t xml:space="preserve"> </w:t>
      </w:r>
      <w:r w:rsidRPr="00923599">
        <w:rPr>
          <w:rFonts w:asciiTheme="minorBidi" w:hAnsiTheme="minorBidi"/>
          <w:sz w:val="24"/>
          <w:szCs w:val="24"/>
        </w:rPr>
        <w:t>It succeeded in retaining its position as a strong player in the Egyptian market and was able to achieve remarkable</w:t>
      </w:r>
      <w:r>
        <w:rPr>
          <w:rFonts w:asciiTheme="minorBidi" w:hAnsiTheme="minorBidi"/>
          <w:sz w:val="24"/>
          <w:szCs w:val="24"/>
        </w:rPr>
        <w:t xml:space="preserve"> </w:t>
      </w:r>
      <w:r w:rsidRPr="00923599">
        <w:rPr>
          <w:rFonts w:asciiTheme="minorBidi" w:hAnsiTheme="minorBidi"/>
          <w:sz w:val="24"/>
          <w:szCs w:val="24"/>
        </w:rPr>
        <w:t xml:space="preserve">growth in the portfolio of loans </w:t>
      </w:r>
      <w:r>
        <w:rPr>
          <w:rFonts w:asciiTheme="minorBidi" w:hAnsiTheme="minorBidi"/>
          <w:sz w:val="24"/>
          <w:szCs w:val="24"/>
        </w:rPr>
        <w:t>and</w:t>
      </w:r>
      <w:r w:rsidRPr="00923599">
        <w:rPr>
          <w:rFonts w:asciiTheme="minorBidi" w:hAnsiTheme="minorBidi"/>
          <w:sz w:val="24"/>
          <w:szCs w:val="24"/>
        </w:rPr>
        <w:t xml:space="preserve"> deposits, increase market share, increase returns and maintain sound quality and cost ratios of assets.</w:t>
      </w:r>
      <w:r>
        <w:rPr>
          <w:rFonts w:asciiTheme="minorBidi" w:hAnsiTheme="minorBidi"/>
          <w:sz w:val="24"/>
          <w:szCs w:val="24"/>
        </w:rPr>
        <w:t xml:space="preserve"> </w:t>
      </w:r>
      <w:r w:rsidRPr="00923599">
        <w:rPr>
          <w:rFonts w:asciiTheme="minorBidi" w:hAnsiTheme="minorBidi"/>
          <w:sz w:val="24"/>
          <w:szCs w:val="24"/>
        </w:rPr>
        <w:t>This has always resulted from its strategy to remain a committed business partner to its customers through balanced policies to navigate the prevailing challenges.</w:t>
      </w:r>
      <w:r>
        <w:rPr>
          <w:rFonts w:asciiTheme="minorBidi" w:hAnsiTheme="minorBidi"/>
          <w:sz w:val="24"/>
          <w:szCs w:val="24"/>
        </w:rPr>
        <w:t xml:space="preserve"> </w:t>
      </w:r>
      <w:sdt>
        <w:sdtPr>
          <w:rPr>
            <w:rFonts w:asciiTheme="minorBidi" w:hAnsiTheme="minorBidi"/>
            <w:sz w:val="24"/>
            <w:szCs w:val="24"/>
          </w:rPr>
          <w:id w:val="1927455475"/>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QNB \l 1033 </w:instrText>
          </w:r>
          <w:r>
            <w:rPr>
              <w:rFonts w:asciiTheme="minorBidi" w:hAnsiTheme="minorBidi"/>
              <w:sz w:val="24"/>
              <w:szCs w:val="24"/>
            </w:rPr>
            <w:fldChar w:fldCharType="separate"/>
          </w:r>
          <w:r w:rsidRPr="00836BCE">
            <w:rPr>
              <w:rFonts w:asciiTheme="minorBidi" w:hAnsiTheme="minorBidi"/>
              <w:noProof/>
              <w:sz w:val="24"/>
              <w:szCs w:val="24"/>
            </w:rPr>
            <w:t>(QNB ALAHLI, n.d.)</w:t>
          </w:r>
          <w:r>
            <w:rPr>
              <w:rFonts w:asciiTheme="minorBidi" w:hAnsiTheme="minorBidi"/>
              <w:sz w:val="24"/>
              <w:szCs w:val="24"/>
            </w:rPr>
            <w:fldChar w:fldCharType="end"/>
          </w:r>
        </w:sdtContent>
      </w:sdt>
    </w:p>
    <w:p w14:paraId="39DBC590" w14:textId="77777777" w:rsidR="003F38A0" w:rsidRPr="003F38A0" w:rsidRDefault="003F38A0" w:rsidP="003F38A0">
      <w:pPr>
        <w:pStyle w:val="Heading2"/>
        <w:rPr>
          <w:rFonts w:asciiTheme="minorBidi" w:hAnsiTheme="minorBidi" w:cstheme="minorBidi"/>
          <w:b/>
          <w:bCs/>
          <w:color w:val="1F3864" w:themeColor="accent1" w:themeShade="80"/>
          <w:sz w:val="28"/>
          <w:szCs w:val="28"/>
        </w:rPr>
      </w:pPr>
      <w:bookmarkStart w:id="3" w:name="_Toc59103024"/>
      <w:r w:rsidRPr="003F38A0">
        <w:rPr>
          <w:rFonts w:asciiTheme="minorBidi" w:hAnsiTheme="minorBidi" w:cstheme="minorBidi"/>
          <w:b/>
          <w:bCs/>
          <w:color w:val="1F3864" w:themeColor="accent1" w:themeShade="80"/>
          <w:sz w:val="28"/>
          <w:szCs w:val="28"/>
        </w:rPr>
        <w:t>Arab African International Bank</w:t>
      </w:r>
      <w:bookmarkEnd w:id="3"/>
    </w:p>
    <w:p w14:paraId="3F36F7BC" w14:textId="1259BEDA" w:rsidR="003F38A0" w:rsidRDefault="003F38A0" w:rsidP="003F38A0">
      <w:pPr>
        <w:rPr>
          <w:rFonts w:asciiTheme="minorBidi" w:hAnsiTheme="minorBidi"/>
          <w:sz w:val="24"/>
          <w:szCs w:val="24"/>
        </w:rPr>
      </w:pPr>
      <w:r w:rsidRPr="00914511">
        <w:rPr>
          <w:rFonts w:asciiTheme="minorBidi" w:hAnsiTheme="minorBidi"/>
          <w:sz w:val="24"/>
          <w:szCs w:val="24"/>
        </w:rPr>
        <w:t>A</w:t>
      </w:r>
      <w:r>
        <w:rPr>
          <w:rFonts w:asciiTheme="minorBidi" w:hAnsiTheme="minorBidi"/>
          <w:sz w:val="24"/>
          <w:szCs w:val="24"/>
        </w:rPr>
        <w:t>AIB</w:t>
      </w:r>
      <w:r w:rsidRPr="00914511">
        <w:rPr>
          <w:rFonts w:asciiTheme="minorBidi" w:hAnsiTheme="minorBidi"/>
          <w:sz w:val="24"/>
          <w:szCs w:val="24"/>
        </w:rPr>
        <w:t xml:space="preserve"> was founded as a joint venture between the Central Bank of Egypt (CBE) and the Kuwait Investment</w:t>
      </w:r>
      <w:r>
        <w:rPr>
          <w:rFonts w:asciiTheme="minorBidi" w:hAnsiTheme="minorBidi"/>
          <w:sz w:val="24"/>
          <w:szCs w:val="24"/>
        </w:rPr>
        <w:t xml:space="preserve"> </w:t>
      </w:r>
      <w:r w:rsidRPr="00914511">
        <w:rPr>
          <w:rFonts w:asciiTheme="minorBidi" w:hAnsiTheme="minorBidi"/>
          <w:sz w:val="24"/>
          <w:szCs w:val="24"/>
        </w:rPr>
        <w:t>Authority (KIA) by special law and was incorporated as the first Arab multinational bank in Egypt in 1964.</w:t>
      </w:r>
      <w:r>
        <w:rPr>
          <w:rFonts w:asciiTheme="minorBidi" w:hAnsiTheme="minorBidi"/>
          <w:sz w:val="24"/>
          <w:szCs w:val="24"/>
        </w:rPr>
        <w:t xml:space="preserve"> </w:t>
      </w:r>
      <w:r w:rsidRPr="003861CD">
        <w:rPr>
          <w:rFonts w:asciiTheme="minorBidi" w:hAnsiTheme="minorBidi"/>
          <w:sz w:val="24"/>
          <w:szCs w:val="24"/>
        </w:rPr>
        <w:t>Part o</w:t>
      </w:r>
      <w:r>
        <w:rPr>
          <w:rFonts w:asciiTheme="minorBidi" w:hAnsiTheme="minorBidi"/>
          <w:sz w:val="24"/>
          <w:szCs w:val="24"/>
        </w:rPr>
        <w:t xml:space="preserve">f AAIB strategy </w:t>
      </w:r>
      <w:r w:rsidRPr="003861CD">
        <w:rPr>
          <w:rFonts w:asciiTheme="minorBidi" w:hAnsiTheme="minorBidi"/>
          <w:sz w:val="24"/>
          <w:szCs w:val="24"/>
        </w:rPr>
        <w:t>was to switch from a bank to a financial</w:t>
      </w:r>
      <w:r>
        <w:rPr>
          <w:rFonts w:asciiTheme="minorBidi" w:hAnsiTheme="minorBidi"/>
          <w:sz w:val="24"/>
          <w:szCs w:val="24"/>
        </w:rPr>
        <w:t xml:space="preserve"> group</w:t>
      </w:r>
      <w:r w:rsidRPr="003861CD">
        <w:rPr>
          <w:rFonts w:asciiTheme="minorBidi" w:hAnsiTheme="minorBidi"/>
          <w:sz w:val="24"/>
          <w:szCs w:val="24"/>
        </w:rPr>
        <w:t>.</w:t>
      </w:r>
      <w:r>
        <w:rPr>
          <w:rFonts w:asciiTheme="minorBidi" w:hAnsiTheme="minorBidi"/>
          <w:sz w:val="24"/>
          <w:szCs w:val="24"/>
        </w:rPr>
        <w:t xml:space="preserve"> </w:t>
      </w:r>
      <w:r w:rsidRPr="003861CD">
        <w:rPr>
          <w:rFonts w:asciiTheme="minorBidi" w:hAnsiTheme="minorBidi"/>
          <w:sz w:val="24"/>
          <w:szCs w:val="24"/>
        </w:rPr>
        <w:t>To that end, AAI</w:t>
      </w:r>
      <w:r>
        <w:rPr>
          <w:rFonts w:asciiTheme="minorBidi" w:hAnsiTheme="minorBidi"/>
          <w:sz w:val="24"/>
          <w:szCs w:val="24"/>
        </w:rPr>
        <w:t xml:space="preserve">B </w:t>
      </w:r>
      <w:r w:rsidRPr="003861CD">
        <w:rPr>
          <w:rFonts w:asciiTheme="minorBidi" w:hAnsiTheme="minorBidi"/>
          <w:sz w:val="24"/>
          <w:szCs w:val="24"/>
        </w:rPr>
        <w:t>has set up regional branches and</w:t>
      </w:r>
      <w:r>
        <w:rPr>
          <w:rFonts w:asciiTheme="minorBidi" w:hAnsiTheme="minorBidi"/>
          <w:sz w:val="24"/>
          <w:szCs w:val="24"/>
        </w:rPr>
        <w:t xml:space="preserve"> </w:t>
      </w:r>
      <w:r w:rsidRPr="003861CD">
        <w:rPr>
          <w:rFonts w:asciiTheme="minorBidi" w:hAnsiTheme="minorBidi"/>
          <w:sz w:val="24"/>
          <w:szCs w:val="24"/>
        </w:rPr>
        <w:t>subsidiaries</w:t>
      </w:r>
      <w:r>
        <w:rPr>
          <w:rFonts w:asciiTheme="minorBidi" w:hAnsiTheme="minorBidi"/>
          <w:sz w:val="24"/>
          <w:szCs w:val="24"/>
        </w:rPr>
        <w:t xml:space="preserve"> such as Gulf Region and AAIB Lebanon</w:t>
      </w:r>
      <w:r w:rsidRPr="003861CD">
        <w:rPr>
          <w:rFonts w:asciiTheme="minorBidi" w:hAnsiTheme="minorBidi"/>
          <w:sz w:val="24"/>
          <w:szCs w:val="24"/>
        </w:rPr>
        <w:t xml:space="preserve"> to give its customers a more</w:t>
      </w:r>
      <w:r>
        <w:rPr>
          <w:rFonts w:asciiTheme="minorBidi" w:hAnsiTheme="minorBidi"/>
          <w:sz w:val="24"/>
          <w:szCs w:val="24"/>
        </w:rPr>
        <w:t xml:space="preserve"> </w:t>
      </w:r>
      <w:r w:rsidRPr="00A17A9C">
        <w:rPr>
          <w:rFonts w:asciiTheme="minorBidi" w:hAnsiTheme="minorBidi"/>
          <w:sz w:val="24"/>
          <w:szCs w:val="24"/>
        </w:rPr>
        <w:t xml:space="preserve">comprehensive </w:t>
      </w:r>
      <w:r w:rsidRPr="003861CD">
        <w:rPr>
          <w:rFonts w:asciiTheme="minorBidi" w:hAnsiTheme="minorBidi"/>
          <w:sz w:val="24"/>
          <w:szCs w:val="24"/>
        </w:rPr>
        <w:t xml:space="preserve">banking </w:t>
      </w:r>
      <w:r w:rsidRPr="003861CD">
        <w:rPr>
          <w:rFonts w:asciiTheme="minorBidi" w:hAnsiTheme="minorBidi"/>
          <w:sz w:val="24"/>
          <w:szCs w:val="24"/>
        </w:rPr>
        <w:lastRenderedPageBreak/>
        <w:t>experience.</w:t>
      </w:r>
      <w:r>
        <w:rPr>
          <w:rFonts w:asciiTheme="minorBidi" w:hAnsiTheme="minorBidi"/>
          <w:sz w:val="24"/>
          <w:szCs w:val="24"/>
        </w:rPr>
        <w:t xml:space="preserve"> It also has specialized </w:t>
      </w:r>
      <w:r w:rsidRPr="00A17A9C">
        <w:rPr>
          <w:rFonts w:asciiTheme="minorBidi" w:hAnsiTheme="minorBidi"/>
          <w:sz w:val="24"/>
          <w:szCs w:val="24"/>
        </w:rPr>
        <w:t>subsidiaries</w:t>
      </w:r>
      <w:r>
        <w:rPr>
          <w:rFonts w:asciiTheme="minorBidi" w:hAnsiTheme="minorBidi"/>
          <w:sz w:val="24"/>
          <w:szCs w:val="24"/>
        </w:rPr>
        <w:t xml:space="preserve"> such as </w:t>
      </w:r>
      <w:r w:rsidRPr="00A17A9C">
        <w:rPr>
          <w:rFonts w:asciiTheme="minorBidi" w:hAnsiTheme="minorBidi"/>
          <w:sz w:val="24"/>
          <w:szCs w:val="24"/>
        </w:rPr>
        <w:t>Arab African International Securities</w:t>
      </w:r>
      <w:r>
        <w:rPr>
          <w:rFonts w:asciiTheme="minorBidi" w:hAnsiTheme="minorBidi"/>
          <w:sz w:val="24"/>
          <w:szCs w:val="24"/>
        </w:rPr>
        <w:t xml:space="preserve">, </w:t>
      </w:r>
      <w:r w:rsidRPr="00A17A9C">
        <w:rPr>
          <w:rFonts w:asciiTheme="minorBidi" w:hAnsiTheme="minorBidi"/>
          <w:sz w:val="24"/>
          <w:szCs w:val="24"/>
        </w:rPr>
        <w:t>Arab African Investment Management,</w:t>
      </w:r>
      <w:r w:rsidRPr="00A17A9C">
        <w:t xml:space="preserve"> </w:t>
      </w:r>
      <w:r w:rsidRPr="00A17A9C">
        <w:rPr>
          <w:rFonts w:asciiTheme="minorBidi" w:hAnsiTheme="minorBidi"/>
          <w:sz w:val="24"/>
          <w:szCs w:val="24"/>
        </w:rPr>
        <w:t>Arab African Investment Holding</w:t>
      </w:r>
      <w:r>
        <w:rPr>
          <w:rFonts w:asciiTheme="minorBidi" w:hAnsiTheme="minorBidi"/>
          <w:sz w:val="24"/>
          <w:szCs w:val="24"/>
        </w:rPr>
        <w:t xml:space="preserve"> and Arab</w:t>
      </w:r>
      <w:r w:rsidRPr="00A17A9C">
        <w:rPr>
          <w:rFonts w:asciiTheme="minorBidi" w:hAnsiTheme="minorBidi"/>
          <w:sz w:val="24"/>
          <w:szCs w:val="24"/>
        </w:rPr>
        <w:t xml:space="preserve"> African International Leasing</w:t>
      </w:r>
      <w:r>
        <w:rPr>
          <w:rFonts w:asciiTheme="minorBidi" w:hAnsiTheme="minorBidi"/>
          <w:sz w:val="24"/>
          <w:szCs w:val="24"/>
        </w:rPr>
        <w:t xml:space="preserve">. </w:t>
      </w:r>
      <w:sdt>
        <w:sdtPr>
          <w:rPr>
            <w:rFonts w:asciiTheme="minorBidi" w:hAnsiTheme="minorBidi"/>
            <w:sz w:val="24"/>
            <w:szCs w:val="24"/>
          </w:rPr>
          <w:id w:val="1771200670"/>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AAI \l 1033 </w:instrText>
          </w:r>
          <w:r>
            <w:rPr>
              <w:rFonts w:asciiTheme="minorBidi" w:hAnsiTheme="minorBidi"/>
              <w:sz w:val="24"/>
              <w:szCs w:val="24"/>
            </w:rPr>
            <w:fldChar w:fldCharType="separate"/>
          </w:r>
          <w:r w:rsidRPr="00A17A9C">
            <w:rPr>
              <w:rFonts w:asciiTheme="minorBidi" w:hAnsiTheme="minorBidi"/>
              <w:noProof/>
              <w:sz w:val="24"/>
              <w:szCs w:val="24"/>
            </w:rPr>
            <w:t>(AAIB, n.d.)</w:t>
          </w:r>
          <w:r>
            <w:rPr>
              <w:rFonts w:asciiTheme="minorBidi" w:hAnsiTheme="minorBidi"/>
              <w:sz w:val="24"/>
              <w:szCs w:val="24"/>
            </w:rPr>
            <w:fldChar w:fldCharType="end"/>
          </w:r>
        </w:sdtContent>
      </w:sdt>
      <w:r>
        <w:rPr>
          <w:rFonts w:asciiTheme="minorBidi" w:hAnsiTheme="minorBidi"/>
          <w:sz w:val="24"/>
          <w:szCs w:val="24"/>
        </w:rPr>
        <w:t>.</w:t>
      </w:r>
    </w:p>
    <w:p w14:paraId="0A4B22DB" w14:textId="4FC27016" w:rsidR="003F38A0" w:rsidRPr="003F38A0" w:rsidRDefault="003F38A0" w:rsidP="003F38A0">
      <w:pPr>
        <w:pStyle w:val="Heading1"/>
        <w:jc w:val="center"/>
        <w:rPr>
          <w:rFonts w:asciiTheme="minorBidi" w:hAnsiTheme="minorBidi" w:cstheme="minorBidi"/>
          <w:b/>
          <w:bCs/>
          <w:color w:val="FF0000"/>
          <w:sz w:val="36"/>
          <w:szCs w:val="36"/>
          <w:lang w:val="en-GB"/>
        </w:rPr>
      </w:pPr>
      <w:bookmarkStart w:id="4" w:name="_Toc59103025"/>
      <w:r w:rsidRPr="003F38A0">
        <w:rPr>
          <w:rFonts w:asciiTheme="minorBidi" w:hAnsiTheme="minorBidi" w:cstheme="minorBidi"/>
          <w:b/>
          <w:bCs/>
          <w:color w:val="FF0000"/>
          <w:sz w:val="36"/>
          <w:szCs w:val="36"/>
          <w:lang w:val="en-GB"/>
        </w:rPr>
        <w:t>Time-series analysis</w:t>
      </w:r>
      <w:bookmarkEnd w:id="4"/>
    </w:p>
    <w:p w14:paraId="7F84E40D" w14:textId="22634A96" w:rsidR="003F38A0" w:rsidRPr="003F38A0" w:rsidRDefault="005D1530" w:rsidP="003F38A0">
      <w:pPr>
        <w:pStyle w:val="Heading2"/>
        <w:rPr>
          <w:rFonts w:asciiTheme="minorBidi" w:hAnsiTheme="minorBidi" w:cstheme="minorBidi"/>
          <w:b/>
          <w:bCs/>
          <w:color w:val="1F3864" w:themeColor="accent1" w:themeShade="80"/>
          <w:sz w:val="32"/>
          <w:szCs w:val="32"/>
          <w:lang w:val="en-GB"/>
        </w:rPr>
      </w:pPr>
      <w:bookmarkStart w:id="5" w:name="_Toc59103026"/>
      <w:r>
        <w:rPr>
          <w:rFonts w:asciiTheme="minorBidi" w:hAnsiTheme="minorBidi" w:cstheme="minorBidi"/>
          <w:b/>
          <w:bCs/>
          <w:color w:val="1F3864" w:themeColor="accent1" w:themeShade="80"/>
          <w:sz w:val="32"/>
          <w:szCs w:val="32"/>
          <w:lang w:val="en-GB"/>
        </w:rPr>
        <w:t>Qatar National Bank</w:t>
      </w:r>
      <w:r w:rsidR="003F38A0" w:rsidRPr="003F38A0">
        <w:rPr>
          <w:rFonts w:asciiTheme="minorBidi" w:hAnsiTheme="minorBidi" w:cstheme="minorBidi"/>
          <w:b/>
          <w:bCs/>
          <w:color w:val="1F3864" w:themeColor="accent1" w:themeShade="80"/>
          <w:sz w:val="32"/>
          <w:szCs w:val="32"/>
          <w:lang w:val="en-GB"/>
        </w:rPr>
        <w:t xml:space="preserve"> ALAHLI</w:t>
      </w:r>
      <w:bookmarkEnd w:id="5"/>
    </w:p>
    <w:p w14:paraId="282DC547" w14:textId="13DFA27E" w:rsidR="003F38A0" w:rsidRPr="003F38A0" w:rsidRDefault="003F38A0" w:rsidP="003F38A0">
      <w:pPr>
        <w:pStyle w:val="Heading3"/>
        <w:rPr>
          <w:rFonts w:asciiTheme="minorBidi" w:hAnsiTheme="minorBidi" w:cstheme="minorBidi"/>
          <w:b/>
          <w:bCs/>
          <w:color w:val="2F5496" w:themeColor="accent1" w:themeShade="BF"/>
          <w:sz w:val="28"/>
          <w:szCs w:val="28"/>
          <w:lang w:val="en-GB"/>
        </w:rPr>
      </w:pPr>
      <w:bookmarkStart w:id="6" w:name="_Toc59103027"/>
      <w:r w:rsidRPr="003F38A0">
        <w:rPr>
          <w:rFonts w:asciiTheme="minorBidi" w:hAnsiTheme="minorBidi" w:cstheme="minorBidi"/>
          <w:b/>
          <w:bCs/>
          <w:color w:val="2F5496" w:themeColor="accent1" w:themeShade="BF"/>
          <w:sz w:val="28"/>
          <w:szCs w:val="28"/>
          <w:lang w:val="en-GB"/>
        </w:rPr>
        <w:t xml:space="preserve">ROA </w:t>
      </w:r>
      <w:r>
        <w:rPr>
          <w:rFonts w:asciiTheme="minorBidi" w:hAnsiTheme="minorBidi" w:cstheme="minorBidi"/>
          <w:b/>
          <w:bCs/>
          <w:color w:val="2F5496" w:themeColor="accent1" w:themeShade="BF"/>
          <w:sz w:val="28"/>
          <w:szCs w:val="28"/>
          <w:lang w:val="en-GB"/>
        </w:rPr>
        <w:t>A</w:t>
      </w:r>
      <w:r w:rsidRPr="003F38A0">
        <w:rPr>
          <w:rFonts w:asciiTheme="minorBidi" w:hAnsiTheme="minorBidi" w:cstheme="minorBidi"/>
          <w:b/>
          <w:bCs/>
          <w:color w:val="2F5496" w:themeColor="accent1" w:themeShade="BF"/>
          <w:sz w:val="28"/>
          <w:szCs w:val="28"/>
          <w:lang w:val="en-GB"/>
        </w:rPr>
        <w:t>nalysis</w:t>
      </w:r>
      <w:bookmarkEnd w:id="6"/>
      <w:r w:rsidRPr="003F38A0">
        <w:rPr>
          <w:rFonts w:asciiTheme="minorBidi" w:hAnsiTheme="minorBidi" w:cstheme="minorBidi"/>
          <w:b/>
          <w:bCs/>
          <w:color w:val="2F5496" w:themeColor="accent1" w:themeShade="BF"/>
          <w:sz w:val="28"/>
          <w:szCs w:val="28"/>
          <w:lang w:val="en-GB"/>
        </w:rPr>
        <w:t xml:space="preserve"> </w:t>
      </w:r>
    </w:p>
    <w:p w14:paraId="7EF606B0" w14:textId="24705C67" w:rsidR="003F38A0" w:rsidRPr="00685C16" w:rsidRDefault="003F38A0" w:rsidP="003F38A0">
      <w:pPr>
        <w:rPr>
          <w:rFonts w:asciiTheme="minorBidi" w:hAnsiTheme="minorBidi"/>
          <w:sz w:val="24"/>
          <w:szCs w:val="24"/>
          <w:lang w:val="en-GB"/>
        </w:rPr>
      </w:pPr>
      <w:r w:rsidRPr="00685C16">
        <w:rPr>
          <w:rFonts w:asciiTheme="minorBidi" w:hAnsiTheme="minorBidi"/>
          <w:noProof/>
        </w:rPr>
        <w:drawing>
          <wp:anchor distT="0" distB="0" distL="114300" distR="114300" simplePos="0" relativeHeight="251667456" behindDoc="1" locked="0" layoutInCell="1" allowOverlap="1" wp14:anchorId="2DF81168" wp14:editId="7D689A2A">
            <wp:simplePos x="0" y="0"/>
            <wp:positionH relativeFrom="column">
              <wp:posOffset>2247900</wp:posOffset>
            </wp:positionH>
            <wp:positionV relativeFrom="page">
              <wp:posOffset>3581400</wp:posOffset>
            </wp:positionV>
            <wp:extent cx="4352925" cy="2495550"/>
            <wp:effectExtent l="0" t="0" r="9525" b="0"/>
            <wp:wrapTight wrapText="bothSides">
              <wp:wrapPolygon edited="0">
                <wp:start x="0" y="0"/>
                <wp:lineTo x="0" y="21435"/>
                <wp:lineTo x="21553" y="21435"/>
                <wp:lineTo x="21553" y="0"/>
                <wp:lineTo x="0" y="0"/>
              </wp:wrapPolygon>
            </wp:wrapTight>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Pr="00685C16">
        <w:rPr>
          <w:rFonts w:asciiTheme="minorBidi" w:hAnsiTheme="minorBidi"/>
          <w:sz w:val="24"/>
          <w:szCs w:val="24"/>
          <w:lang w:val="en-GB"/>
        </w:rPr>
        <w:t>ROA “how effectively the company is using its assets”</w:t>
      </w:r>
      <w:sdt>
        <w:sdtPr>
          <w:rPr>
            <w:rFonts w:asciiTheme="minorBidi" w:hAnsiTheme="minorBidi"/>
            <w:sz w:val="24"/>
            <w:szCs w:val="24"/>
            <w:lang w:val="en-GB"/>
          </w:rPr>
          <w:id w:val="76418439"/>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cam3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 xml:space="preserve"> (cambridge dictionary)</w:t>
          </w:r>
          <w:r w:rsidRPr="00685C16">
            <w:rPr>
              <w:rFonts w:asciiTheme="minorBidi" w:hAnsiTheme="minorBidi"/>
              <w:sz w:val="24"/>
              <w:szCs w:val="24"/>
              <w:lang w:val="en-GB"/>
            </w:rPr>
            <w:fldChar w:fldCharType="end"/>
          </w:r>
        </w:sdtContent>
      </w:sdt>
    </w:p>
    <w:p w14:paraId="3F6B7C3B" w14:textId="77777777" w:rsidR="003F38A0" w:rsidRPr="00685C16" w:rsidRDefault="003F38A0" w:rsidP="003F38A0">
      <w:pPr>
        <w:rPr>
          <w:rFonts w:asciiTheme="minorBidi" w:hAnsiTheme="minorBidi"/>
          <w:sz w:val="24"/>
          <w:szCs w:val="24"/>
          <w:lang w:val="en-GB"/>
        </w:rPr>
      </w:pPr>
      <w:r w:rsidRPr="00685C16">
        <w:rPr>
          <w:rFonts w:asciiTheme="minorBidi" w:hAnsiTheme="minorBidi"/>
          <w:sz w:val="24"/>
          <w:szCs w:val="24"/>
          <w:lang w:val="en-GB"/>
        </w:rPr>
        <w:t xml:space="preserve">The return on assets (ROA) has decreased in 2016 to be 1.4% from 2.4 in 2015. </w:t>
      </w:r>
      <w:sdt>
        <w:sdtPr>
          <w:rPr>
            <w:rFonts w:asciiTheme="minorBidi" w:hAnsiTheme="minorBidi"/>
            <w:sz w:val="24"/>
            <w:szCs w:val="24"/>
            <w:lang w:val="en-GB"/>
          </w:rPr>
          <w:id w:val="181413966"/>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Ann16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(Annual report , 2016)</w:t>
          </w:r>
          <w:r w:rsidRPr="00685C16">
            <w:rPr>
              <w:rFonts w:asciiTheme="minorBidi" w:hAnsiTheme="minorBidi"/>
              <w:sz w:val="24"/>
              <w:szCs w:val="24"/>
              <w:lang w:val="en-GB"/>
            </w:rPr>
            <w:fldChar w:fldCharType="end"/>
          </w:r>
        </w:sdtContent>
      </w:sdt>
    </w:p>
    <w:p w14:paraId="1989CBA9" w14:textId="011198BA" w:rsidR="003F38A0" w:rsidRPr="00685C16" w:rsidRDefault="003F38A0" w:rsidP="003F38A0">
      <w:pPr>
        <w:rPr>
          <w:rFonts w:asciiTheme="minorBidi" w:hAnsiTheme="minorBidi"/>
          <w:sz w:val="24"/>
          <w:szCs w:val="24"/>
          <w:lang w:val="en-GB"/>
        </w:rPr>
      </w:pPr>
      <w:r w:rsidRPr="00685C16">
        <w:rPr>
          <w:rFonts w:asciiTheme="minorBidi" w:hAnsiTheme="minorBidi"/>
          <w:sz w:val="24"/>
          <w:szCs w:val="24"/>
          <w:lang w:val="en-GB"/>
        </w:rPr>
        <w:t xml:space="preserve">Then it has been increasing in 2017 to be the same ratio as 2015 2.4% to continue increasing in 2018 to reach 2.7% </w:t>
      </w:r>
      <w:sdt>
        <w:sdtPr>
          <w:rPr>
            <w:rFonts w:asciiTheme="minorBidi" w:hAnsiTheme="minorBidi"/>
            <w:sz w:val="24"/>
            <w:szCs w:val="24"/>
            <w:lang w:val="en-GB"/>
          </w:rPr>
          <w:id w:val="1568306034"/>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Ann18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(Annual report, 2018)</w:t>
          </w:r>
          <w:r w:rsidRPr="00685C16">
            <w:rPr>
              <w:rFonts w:asciiTheme="minorBidi" w:hAnsiTheme="minorBidi"/>
              <w:sz w:val="24"/>
              <w:szCs w:val="24"/>
              <w:lang w:val="en-GB"/>
            </w:rPr>
            <w:fldChar w:fldCharType="end"/>
          </w:r>
        </w:sdtContent>
      </w:sdt>
      <w:r>
        <w:rPr>
          <w:rFonts w:asciiTheme="minorBidi" w:hAnsiTheme="minorBidi"/>
          <w:sz w:val="24"/>
          <w:szCs w:val="24"/>
          <w:lang w:val="en-GB"/>
        </w:rPr>
        <w:t>.</w:t>
      </w:r>
    </w:p>
    <w:p w14:paraId="5656DF45" w14:textId="71AEC7EC" w:rsidR="003F38A0" w:rsidRPr="00685C16" w:rsidRDefault="003F38A0" w:rsidP="003F38A0">
      <w:pPr>
        <w:rPr>
          <w:rFonts w:asciiTheme="minorBidi" w:hAnsiTheme="minorBidi"/>
          <w:sz w:val="24"/>
          <w:szCs w:val="24"/>
          <w:lang w:val="en-GB"/>
        </w:rPr>
      </w:pPr>
      <w:r w:rsidRPr="00685C16">
        <w:rPr>
          <w:rFonts w:asciiTheme="minorBidi" w:hAnsiTheme="minorBidi"/>
          <w:sz w:val="24"/>
          <w:szCs w:val="24"/>
          <w:lang w:val="en-GB"/>
        </w:rPr>
        <w:t xml:space="preserve">2019 statistics shows that the ROA has a significant rise as it reached 3.1%. </w:t>
      </w:r>
      <w:sdt>
        <w:sdtPr>
          <w:rPr>
            <w:rFonts w:asciiTheme="minorBidi" w:hAnsiTheme="minorBidi"/>
            <w:sz w:val="24"/>
            <w:szCs w:val="24"/>
            <w:lang w:val="en-GB"/>
          </w:rPr>
          <w:id w:val="-1766604450"/>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Ann19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(Annual report, 2019)</w:t>
          </w:r>
          <w:r w:rsidRPr="00685C16">
            <w:rPr>
              <w:rFonts w:asciiTheme="minorBidi" w:hAnsiTheme="minorBidi"/>
              <w:sz w:val="24"/>
              <w:szCs w:val="24"/>
              <w:lang w:val="en-GB"/>
            </w:rPr>
            <w:fldChar w:fldCharType="end"/>
          </w:r>
        </w:sdtContent>
      </w:sdt>
      <w:r>
        <w:rPr>
          <w:rFonts w:asciiTheme="minorBidi" w:hAnsiTheme="minorBidi"/>
          <w:sz w:val="24"/>
          <w:szCs w:val="24"/>
          <w:lang w:val="en-GB"/>
        </w:rPr>
        <w:t>.</w:t>
      </w:r>
    </w:p>
    <w:p w14:paraId="33AAC4E6" w14:textId="41EAA521" w:rsidR="003F38A0" w:rsidRPr="003F38A0" w:rsidRDefault="003F38A0" w:rsidP="003F38A0">
      <w:pPr>
        <w:rPr>
          <w:rFonts w:asciiTheme="minorBidi" w:hAnsiTheme="minorBidi"/>
          <w:sz w:val="24"/>
          <w:szCs w:val="24"/>
          <w:lang w:val="en-GB"/>
        </w:rPr>
      </w:pPr>
      <w:r w:rsidRPr="00685C16">
        <w:rPr>
          <w:rFonts w:asciiTheme="minorBidi" w:hAnsiTheme="minorBidi"/>
          <w:sz w:val="24"/>
          <w:szCs w:val="24"/>
          <w:lang w:val="en-GB"/>
        </w:rPr>
        <w:t>The reason behind this increasing in the return on assets is the increase in the net income compared with the total assets over the five years.</w:t>
      </w:r>
    </w:p>
    <w:p w14:paraId="395085B2" w14:textId="77777777" w:rsidR="003F38A0" w:rsidRPr="00685C16" w:rsidRDefault="003F38A0" w:rsidP="003F38A0">
      <w:pPr>
        <w:rPr>
          <w:rFonts w:asciiTheme="minorBidi" w:hAnsiTheme="minorBidi"/>
          <w:b/>
          <w:bCs/>
          <w:sz w:val="24"/>
          <w:szCs w:val="24"/>
          <w:lang w:val="en-GB"/>
        </w:rPr>
      </w:pPr>
    </w:p>
    <w:p w14:paraId="6125C4D8" w14:textId="14C471AB" w:rsidR="003F38A0" w:rsidRPr="00685C16" w:rsidRDefault="008C29EC" w:rsidP="003F38A0">
      <w:pPr>
        <w:rPr>
          <w:rFonts w:asciiTheme="minorBidi" w:hAnsiTheme="minorBidi"/>
          <w:sz w:val="24"/>
          <w:szCs w:val="24"/>
          <w:lang w:val="en-GB"/>
        </w:rPr>
      </w:pPr>
      <w:r w:rsidRPr="00685C16">
        <w:rPr>
          <w:rFonts w:asciiTheme="minorBidi" w:hAnsiTheme="minorBidi"/>
          <w:noProof/>
        </w:rPr>
        <w:lastRenderedPageBreak/>
        <w:drawing>
          <wp:anchor distT="0" distB="0" distL="114300" distR="114300" simplePos="0" relativeHeight="251668480" behindDoc="1" locked="0" layoutInCell="1" allowOverlap="1" wp14:anchorId="168AA55A" wp14:editId="29B8B6EA">
            <wp:simplePos x="0" y="0"/>
            <wp:positionH relativeFrom="column">
              <wp:posOffset>2343150</wp:posOffset>
            </wp:positionH>
            <wp:positionV relativeFrom="page">
              <wp:posOffset>1238250</wp:posOffset>
            </wp:positionV>
            <wp:extent cx="4133850" cy="2009775"/>
            <wp:effectExtent l="0" t="0" r="0" b="9525"/>
            <wp:wrapTight wrapText="bothSides">
              <wp:wrapPolygon edited="0">
                <wp:start x="0" y="0"/>
                <wp:lineTo x="0" y="21498"/>
                <wp:lineTo x="21500" y="21498"/>
                <wp:lineTo x="21500" y="0"/>
                <wp:lineTo x="0" y="0"/>
              </wp:wrapPolygon>
            </wp:wrapTight>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3F38A0" w:rsidRPr="00685C16">
        <w:rPr>
          <w:rFonts w:asciiTheme="minorBidi" w:hAnsiTheme="minorBidi"/>
          <w:sz w:val="24"/>
          <w:szCs w:val="24"/>
          <w:lang w:val="en-GB"/>
        </w:rPr>
        <w:t>During the period 2015/2016 the net operation margin decreased because of the increase of total assets while the pre-tax income decreased. From 2016 to 2019 the net operation margin increased because of the increase of pre-tax income compared to total assets.</w:t>
      </w:r>
    </w:p>
    <w:p w14:paraId="1866FF63" w14:textId="744EF972" w:rsidR="003F38A0" w:rsidRPr="00685C16" w:rsidRDefault="008C29EC" w:rsidP="003F38A0">
      <w:pPr>
        <w:rPr>
          <w:rFonts w:asciiTheme="minorBidi" w:hAnsiTheme="minorBidi"/>
          <w:sz w:val="24"/>
          <w:szCs w:val="24"/>
          <w:lang w:val="en-GB"/>
        </w:rPr>
      </w:pPr>
      <w:r w:rsidRPr="00685C16">
        <w:rPr>
          <w:rFonts w:asciiTheme="minorBidi" w:hAnsiTheme="minorBidi"/>
          <w:noProof/>
        </w:rPr>
        <w:drawing>
          <wp:anchor distT="0" distB="0" distL="114300" distR="114300" simplePos="0" relativeHeight="251673600" behindDoc="1" locked="0" layoutInCell="1" allowOverlap="1" wp14:anchorId="0371437C" wp14:editId="19AA87EE">
            <wp:simplePos x="0" y="0"/>
            <wp:positionH relativeFrom="column">
              <wp:posOffset>2390775</wp:posOffset>
            </wp:positionH>
            <wp:positionV relativeFrom="paragraph">
              <wp:posOffset>382270</wp:posOffset>
            </wp:positionV>
            <wp:extent cx="4086225" cy="1943100"/>
            <wp:effectExtent l="0" t="0" r="9525" b="0"/>
            <wp:wrapTight wrapText="bothSides">
              <wp:wrapPolygon edited="0">
                <wp:start x="0" y="0"/>
                <wp:lineTo x="0" y="21388"/>
                <wp:lineTo x="21550" y="21388"/>
                <wp:lineTo x="21550" y="0"/>
                <wp:lineTo x="0" y="0"/>
              </wp:wrapPolygon>
            </wp:wrapTight>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3F38A0" w:rsidRPr="00685C16">
        <w:rPr>
          <w:rFonts w:asciiTheme="minorBidi" w:hAnsiTheme="minorBidi"/>
          <w:sz w:val="24"/>
          <w:szCs w:val="24"/>
          <w:lang w:val="en-GB"/>
        </w:rPr>
        <w:t xml:space="preserve">The net interest margin shows a positive curve it has an unnoticeable decrease during 2015/2016 period because the increase of total earning assets compared to interest income. From 2016/2019 the curve increased because the increase of the interest income. </w:t>
      </w:r>
    </w:p>
    <w:p w14:paraId="2ECC093B" w14:textId="00C83B7A" w:rsidR="003F38A0" w:rsidRDefault="003F38A0" w:rsidP="003F38A0">
      <w:pPr>
        <w:rPr>
          <w:rFonts w:asciiTheme="minorBidi" w:hAnsiTheme="minorBidi"/>
          <w:szCs w:val="24"/>
        </w:rPr>
      </w:pPr>
      <w:r w:rsidRPr="00685C16">
        <w:rPr>
          <w:rFonts w:asciiTheme="minorBidi" w:hAnsiTheme="minorBidi"/>
          <w:noProof/>
        </w:rPr>
        <w:drawing>
          <wp:anchor distT="0" distB="0" distL="114300" distR="114300" simplePos="0" relativeHeight="251674624" behindDoc="1" locked="0" layoutInCell="1" allowOverlap="1" wp14:anchorId="683F789C" wp14:editId="7185FAB9">
            <wp:simplePos x="0" y="0"/>
            <wp:positionH relativeFrom="column">
              <wp:posOffset>2305050</wp:posOffset>
            </wp:positionH>
            <wp:positionV relativeFrom="paragraph">
              <wp:posOffset>-635</wp:posOffset>
            </wp:positionV>
            <wp:extent cx="4133850" cy="2057400"/>
            <wp:effectExtent l="0" t="0" r="0" b="0"/>
            <wp:wrapTight wrapText="bothSides">
              <wp:wrapPolygon edited="0">
                <wp:start x="0" y="0"/>
                <wp:lineTo x="0" y="21400"/>
                <wp:lineTo x="21500" y="21400"/>
                <wp:lineTo x="21500" y="0"/>
                <wp:lineTo x="0" y="0"/>
              </wp:wrapPolygon>
            </wp:wrapTight>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685C16">
        <w:rPr>
          <w:rFonts w:asciiTheme="minorBidi" w:hAnsiTheme="minorBidi"/>
          <w:sz w:val="24"/>
          <w:szCs w:val="24"/>
          <w:lang w:val="en-GB"/>
        </w:rPr>
        <w:t xml:space="preserve">The non-interest margin is fluctuating times decreased (2015/2016) and (2017/2018) and times increased (2016/2017) and (2018/2019) that’s a result of increasing of total assets compared with </w:t>
      </w:r>
      <w:r w:rsidRPr="00685C16">
        <w:rPr>
          <w:rFonts w:asciiTheme="minorBidi" w:hAnsiTheme="minorBidi"/>
          <w:szCs w:val="24"/>
        </w:rPr>
        <w:t xml:space="preserve">value of the net non-interest income. </w:t>
      </w:r>
    </w:p>
    <w:p w14:paraId="4F675CF9" w14:textId="2128D234" w:rsidR="003F38A0" w:rsidRPr="003F38A0" w:rsidRDefault="003F38A0" w:rsidP="003F38A0">
      <w:pPr>
        <w:pStyle w:val="Heading3"/>
        <w:rPr>
          <w:rFonts w:asciiTheme="minorBidi" w:hAnsiTheme="minorBidi" w:cstheme="minorBidi"/>
          <w:b/>
          <w:bCs/>
          <w:color w:val="2F5496" w:themeColor="accent1" w:themeShade="BF"/>
          <w:szCs w:val="28"/>
        </w:rPr>
      </w:pPr>
      <w:bookmarkStart w:id="7" w:name="_Toc59103028"/>
      <w:r w:rsidRPr="003F38A0">
        <w:rPr>
          <w:rFonts w:asciiTheme="minorBidi" w:hAnsiTheme="minorBidi" w:cstheme="minorBidi"/>
          <w:b/>
          <w:bCs/>
          <w:color w:val="2F5496" w:themeColor="accent1" w:themeShade="BF"/>
          <w:sz w:val="28"/>
          <w:szCs w:val="28"/>
          <w:lang w:val="en-GB"/>
        </w:rPr>
        <w:lastRenderedPageBreak/>
        <w:t xml:space="preserve">ROE </w:t>
      </w:r>
      <w:r>
        <w:rPr>
          <w:rFonts w:asciiTheme="minorBidi" w:hAnsiTheme="minorBidi" w:cstheme="minorBidi"/>
          <w:b/>
          <w:bCs/>
          <w:color w:val="2F5496" w:themeColor="accent1" w:themeShade="BF"/>
          <w:sz w:val="28"/>
          <w:szCs w:val="28"/>
          <w:lang w:val="en-GB"/>
        </w:rPr>
        <w:t>A</w:t>
      </w:r>
      <w:r w:rsidRPr="003F38A0">
        <w:rPr>
          <w:rFonts w:asciiTheme="minorBidi" w:hAnsiTheme="minorBidi" w:cstheme="minorBidi"/>
          <w:b/>
          <w:bCs/>
          <w:color w:val="2F5496" w:themeColor="accent1" w:themeShade="BF"/>
          <w:sz w:val="28"/>
          <w:szCs w:val="28"/>
          <w:lang w:val="en-GB"/>
        </w:rPr>
        <w:t>nalysis</w:t>
      </w:r>
      <w:bookmarkEnd w:id="7"/>
      <w:r w:rsidRPr="003F38A0">
        <w:rPr>
          <w:rFonts w:asciiTheme="minorBidi" w:hAnsiTheme="minorBidi" w:cstheme="minorBidi"/>
          <w:b/>
          <w:bCs/>
          <w:color w:val="2F5496" w:themeColor="accent1" w:themeShade="BF"/>
          <w:sz w:val="28"/>
          <w:szCs w:val="28"/>
          <w:lang w:val="en-GB"/>
        </w:rPr>
        <w:t xml:space="preserve"> </w:t>
      </w:r>
    </w:p>
    <w:p w14:paraId="4B668D9B" w14:textId="37F2F5DD" w:rsidR="003F38A0" w:rsidRPr="00685C16" w:rsidRDefault="003F38A0" w:rsidP="003F38A0">
      <w:pPr>
        <w:rPr>
          <w:rFonts w:asciiTheme="minorBidi" w:hAnsiTheme="minorBidi"/>
          <w:sz w:val="24"/>
          <w:szCs w:val="24"/>
          <w:lang w:val="en-GB"/>
        </w:rPr>
      </w:pPr>
      <w:r w:rsidRPr="00685C16">
        <w:rPr>
          <w:rFonts w:asciiTheme="minorBidi" w:hAnsiTheme="minorBidi"/>
          <w:noProof/>
        </w:rPr>
        <w:drawing>
          <wp:anchor distT="0" distB="0" distL="114300" distR="114300" simplePos="0" relativeHeight="251669504" behindDoc="1" locked="0" layoutInCell="1" allowOverlap="1" wp14:anchorId="1924114B" wp14:editId="0EDD9240">
            <wp:simplePos x="0" y="0"/>
            <wp:positionH relativeFrom="margin">
              <wp:posOffset>2247900</wp:posOffset>
            </wp:positionH>
            <wp:positionV relativeFrom="page">
              <wp:posOffset>1333500</wp:posOffset>
            </wp:positionV>
            <wp:extent cx="4229100" cy="2524125"/>
            <wp:effectExtent l="0" t="0" r="0" b="9525"/>
            <wp:wrapTight wrapText="bothSides">
              <wp:wrapPolygon edited="0">
                <wp:start x="0" y="0"/>
                <wp:lineTo x="0" y="21518"/>
                <wp:lineTo x="21503" y="21518"/>
                <wp:lineTo x="21503"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685C16">
        <w:rPr>
          <w:rFonts w:asciiTheme="minorBidi" w:hAnsiTheme="minorBidi"/>
          <w:sz w:val="24"/>
          <w:szCs w:val="24"/>
          <w:lang w:val="en-GB"/>
        </w:rPr>
        <w:t xml:space="preserve">ROE “shows how effectively the company is using its share capital to make a profit” </w:t>
      </w:r>
      <w:sdt>
        <w:sdtPr>
          <w:rPr>
            <w:rFonts w:asciiTheme="minorBidi" w:hAnsiTheme="minorBidi"/>
            <w:sz w:val="24"/>
            <w:szCs w:val="24"/>
            <w:lang w:val="en-GB"/>
          </w:rPr>
          <w:id w:val="1026679278"/>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cam2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(cambridge dictionary)</w:t>
          </w:r>
          <w:r w:rsidRPr="00685C16">
            <w:rPr>
              <w:rFonts w:asciiTheme="minorBidi" w:hAnsiTheme="minorBidi"/>
              <w:sz w:val="24"/>
              <w:szCs w:val="24"/>
              <w:lang w:val="en-GB"/>
            </w:rPr>
            <w:fldChar w:fldCharType="end"/>
          </w:r>
        </w:sdtContent>
      </w:sdt>
      <w:r w:rsidRPr="00685C16">
        <w:rPr>
          <w:rFonts w:asciiTheme="minorBidi" w:hAnsiTheme="minorBidi"/>
          <w:sz w:val="24"/>
          <w:szCs w:val="24"/>
          <w:lang w:val="en-GB"/>
        </w:rPr>
        <w:t xml:space="preserve"> </w:t>
      </w:r>
    </w:p>
    <w:p w14:paraId="38534249" w14:textId="69B85F1F" w:rsidR="003F38A0" w:rsidRPr="00685C16" w:rsidRDefault="003F38A0" w:rsidP="003F38A0">
      <w:pPr>
        <w:rPr>
          <w:rFonts w:asciiTheme="minorBidi" w:hAnsiTheme="minorBidi"/>
          <w:sz w:val="24"/>
          <w:szCs w:val="24"/>
          <w:lang w:val="en-GB"/>
        </w:rPr>
      </w:pPr>
      <w:r w:rsidRPr="00685C16">
        <w:rPr>
          <w:rFonts w:asciiTheme="minorBidi" w:hAnsiTheme="minorBidi"/>
          <w:sz w:val="24"/>
          <w:szCs w:val="24"/>
          <w:lang w:val="en-GB"/>
        </w:rPr>
        <w:t xml:space="preserve">As shown in the graph the change of the ROE from 2015 to 2016 is significant as it decreased from 21.02% to 16.36%. </w:t>
      </w:r>
      <w:sdt>
        <w:sdtPr>
          <w:rPr>
            <w:rFonts w:asciiTheme="minorBidi" w:hAnsiTheme="minorBidi"/>
            <w:sz w:val="24"/>
            <w:szCs w:val="24"/>
            <w:lang w:val="en-GB"/>
          </w:rPr>
          <w:id w:val="-1863664635"/>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Ann16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(Annual report , 2016)</w:t>
          </w:r>
          <w:r w:rsidRPr="00685C16">
            <w:rPr>
              <w:rFonts w:asciiTheme="minorBidi" w:hAnsiTheme="minorBidi"/>
              <w:sz w:val="24"/>
              <w:szCs w:val="24"/>
              <w:lang w:val="en-GB"/>
            </w:rPr>
            <w:fldChar w:fldCharType="end"/>
          </w:r>
        </w:sdtContent>
      </w:sdt>
    </w:p>
    <w:p w14:paraId="6D22AF3A" w14:textId="41536914" w:rsidR="003F38A0" w:rsidRPr="00685C16" w:rsidRDefault="003F38A0" w:rsidP="003F38A0">
      <w:pPr>
        <w:rPr>
          <w:rFonts w:asciiTheme="minorBidi" w:hAnsiTheme="minorBidi"/>
          <w:sz w:val="24"/>
          <w:szCs w:val="24"/>
          <w:lang w:val="en-GB"/>
        </w:rPr>
      </w:pPr>
      <w:r w:rsidRPr="00685C16">
        <w:rPr>
          <w:rFonts w:asciiTheme="minorBidi" w:hAnsiTheme="minorBidi"/>
          <w:sz w:val="24"/>
          <w:szCs w:val="24"/>
          <w:lang w:val="en-GB"/>
        </w:rPr>
        <w:t xml:space="preserve">Then it started to increase reaching high percentage in 2017 24.27% then it reached the peak in 2018 to be 24.79% </w:t>
      </w:r>
      <w:sdt>
        <w:sdtPr>
          <w:rPr>
            <w:rFonts w:asciiTheme="minorBidi" w:hAnsiTheme="minorBidi"/>
            <w:sz w:val="24"/>
            <w:szCs w:val="24"/>
            <w:lang w:val="en-GB"/>
          </w:rPr>
          <w:id w:val="870344716"/>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Ann18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(Annual report, 2018)</w:t>
          </w:r>
          <w:r w:rsidRPr="00685C16">
            <w:rPr>
              <w:rFonts w:asciiTheme="minorBidi" w:hAnsiTheme="minorBidi"/>
              <w:sz w:val="24"/>
              <w:szCs w:val="24"/>
              <w:lang w:val="en-GB"/>
            </w:rPr>
            <w:fldChar w:fldCharType="end"/>
          </w:r>
        </w:sdtContent>
      </w:sdt>
    </w:p>
    <w:p w14:paraId="66A93390" w14:textId="77777777" w:rsidR="003F38A0" w:rsidRPr="00685C16" w:rsidRDefault="003F38A0" w:rsidP="003F38A0">
      <w:pPr>
        <w:rPr>
          <w:rFonts w:asciiTheme="minorBidi" w:hAnsiTheme="minorBidi"/>
          <w:sz w:val="24"/>
          <w:szCs w:val="24"/>
          <w:lang w:val="en-GB"/>
        </w:rPr>
      </w:pPr>
      <w:r w:rsidRPr="00685C16">
        <w:rPr>
          <w:rFonts w:asciiTheme="minorBidi" w:hAnsiTheme="minorBidi"/>
          <w:sz w:val="24"/>
          <w:szCs w:val="24"/>
          <w:lang w:val="en-GB"/>
        </w:rPr>
        <w:t xml:space="preserve">But at the start of 2019 the graph shows a decline in the ROE due to the increase in total equity. </w:t>
      </w:r>
      <w:sdt>
        <w:sdtPr>
          <w:rPr>
            <w:rFonts w:asciiTheme="minorBidi" w:hAnsiTheme="minorBidi"/>
            <w:sz w:val="24"/>
            <w:szCs w:val="24"/>
            <w:lang w:val="en-GB"/>
          </w:rPr>
          <w:id w:val="-1859953348"/>
          <w:citation/>
        </w:sdtPr>
        <w:sdtEndPr/>
        <w:sdtContent>
          <w:r w:rsidRPr="00685C16">
            <w:rPr>
              <w:rFonts w:asciiTheme="minorBidi" w:hAnsiTheme="minorBidi"/>
              <w:sz w:val="24"/>
              <w:szCs w:val="24"/>
              <w:lang w:val="en-GB"/>
            </w:rPr>
            <w:fldChar w:fldCharType="begin"/>
          </w:r>
          <w:r w:rsidRPr="00685C16">
            <w:rPr>
              <w:rFonts w:asciiTheme="minorBidi" w:hAnsiTheme="minorBidi"/>
              <w:sz w:val="24"/>
              <w:szCs w:val="24"/>
              <w:lang w:val="en-GB"/>
            </w:rPr>
            <w:instrText xml:space="preserve"> CITATION Ann19 \l 2057 </w:instrText>
          </w:r>
          <w:r w:rsidRPr="00685C16">
            <w:rPr>
              <w:rFonts w:asciiTheme="minorBidi" w:hAnsiTheme="minorBidi"/>
              <w:sz w:val="24"/>
              <w:szCs w:val="24"/>
              <w:lang w:val="en-GB"/>
            </w:rPr>
            <w:fldChar w:fldCharType="separate"/>
          </w:r>
          <w:r w:rsidRPr="00685C16">
            <w:rPr>
              <w:rFonts w:asciiTheme="minorBidi" w:hAnsiTheme="minorBidi"/>
              <w:noProof/>
              <w:sz w:val="24"/>
              <w:szCs w:val="24"/>
              <w:lang w:val="en-GB"/>
            </w:rPr>
            <w:t>(Annual report, 2019)</w:t>
          </w:r>
          <w:r w:rsidRPr="00685C16">
            <w:rPr>
              <w:rFonts w:asciiTheme="minorBidi" w:hAnsiTheme="minorBidi"/>
              <w:sz w:val="24"/>
              <w:szCs w:val="24"/>
              <w:lang w:val="en-GB"/>
            </w:rPr>
            <w:fldChar w:fldCharType="end"/>
          </w:r>
        </w:sdtContent>
      </w:sdt>
    </w:p>
    <w:p w14:paraId="1970800A" w14:textId="0BECCE50" w:rsidR="003F38A0" w:rsidRDefault="003F38A0" w:rsidP="003F38A0">
      <w:pPr>
        <w:rPr>
          <w:rFonts w:asciiTheme="minorBidi" w:hAnsiTheme="minorBidi"/>
          <w:b/>
          <w:bCs/>
          <w:sz w:val="24"/>
          <w:szCs w:val="24"/>
          <w:lang w:val="en-GB"/>
        </w:rPr>
      </w:pPr>
      <w:r w:rsidRPr="00685C16">
        <w:rPr>
          <w:rFonts w:asciiTheme="minorBidi" w:hAnsiTheme="minorBidi"/>
          <w:noProof/>
          <w:sz w:val="24"/>
          <w:szCs w:val="24"/>
        </w:rPr>
        <w:drawing>
          <wp:anchor distT="0" distB="0" distL="114300" distR="114300" simplePos="0" relativeHeight="251663360" behindDoc="1" locked="0" layoutInCell="1" allowOverlap="1" wp14:anchorId="1005351A" wp14:editId="0117770E">
            <wp:simplePos x="0" y="0"/>
            <wp:positionH relativeFrom="column">
              <wp:posOffset>2143125</wp:posOffset>
            </wp:positionH>
            <wp:positionV relativeFrom="margin">
              <wp:posOffset>5029200</wp:posOffset>
            </wp:positionV>
            <wp:extent cx="4362450" cy="2314575"/>
            <wp:effectExtent l="0" t="0" r="0" b="9525"/>
            <wp:wrapTight wrapText="bothSides">
              <wp:wrapPolygon edited="0">
                <wp:start x="0" y="0"/>
                <wp:lineTo x="0" y="21511"/>
                <wp:lineTo x="21506" y="21511"/>
                <wp:lineTo x="21506"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685C16">
        <w:rPr>
          <w:rFonts w:asciiTheme="minorBidi" w:hAnsiTheme="minorBidi"/>
          <w:sz w:val="24"/>
          <w:szCs w:val="24"/>
          <w:lang w:val="en-GB"/>
        </w:rPr>
        <w:t>The equity multiplier increased at the period of 2015/2016 from 8.92 to 11.29 then it’s started to gradually decrease started from the 2017 till 2019 (period 2017/2019). The reason behind the decrease of equity multiplier is the increase in total equity year by year while the total assets is also increasing</w:t>
      </w:r>
      <w:r>
        <w:rPr>
          <w:rFonts w:asciiTheme="minorBidi" w:hAnsiTheme="minorBidi"/>
          <w:sz w:val="24"/>
          <w:szCs w:val="24"/>
          <w:lang w:val="en-GB"/>
        </w:rPr>
        <w:t>.</w:t>
      </w:r>
    </w:p>
    <w:p w14:paraId="2DD00F11" w14:textId="46D94154" w:rsidR="003F38A0" w:rsidRDefault="003F38A0" w:rsidP="003F38A0">
      <w:pPr>
        <w:rPr>
          <w:rFonts w:asciiTheme="minorBidi" w:hAnsiTheme="minorBidi"/>
          <w:sz w:val="24"/>
          <w:szCs w:val="24"/>
          <w:lang w:val="en-GB"/>
        </w:rPr>
      </w:pPr>
      <w:r w:rsidRPr="00685C16">
        <w:rPr>
          <w:rFonts w:asciiTheme="minorBidi" w:hAnsiTheme="minorBidi"/>
          <w:noProof/>
        </w:rPr>
        <w:lastRenderedPageBreak/>
        <w:drawing>
          <wp:anchor distT="0" distB="0" distL="114300" distR="114300" simplePos="0" relativeHeight="251670528" behindDoc="1" locked="0" layoutInCell="1" allowOverlap="1" wp14:anchorId="606BE878" wp14:editId="133169CE">
            <wp:simplePos x="0" y="0"/>
            <wp:positionH relativeFrom="column">
              <wp:posOffset>2228850</wp:posOffset>
            </wp:positionH>
            <wp:positionV relativeFrom="page">
              <wp:posOffset>923925</wp:posOffset>
            </wp:positionV>
            <wp:extent cx="4248150" cy="2743200"/>
            <wp:effectExtent l="0" t="0" r="0" b="0"/>
            <wp:wrapTight wrapText="bothSides">
              <wp:wrapPolygon edited="0">
                <wp:start x="0" y="0"/>
                <wp:lineTo x="0" y="21450"/>
                <wp:lineTo x="21503" y="21450"/>
                <wp:lineTo x="21503" y="0"/>
                <wp:lineTo x="0" y="0"/>
              </wp:wrapPolygon>
            </wp:wrapTight>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Pr="00685C16">
        <w:rPr>
          <w:rFonts w:asciiTheme="minorBidi" w:hAnsiTheme="minorBidi"/>
          <w:sz w:val="24"/>
          <w:szCs w:val="24"/>
          <w:lang w:val="en-GB"/>
        </w:rPr>
        <w:t>Profit margin decreased at the period 2015/2016 due to the increase of net operating revenue compared to net income. Then its start to increase between 2016 and 2019 due to the major increase of net income compared to net operating revenue.</w:t>
      </w:r>
    </w:p>
    <w:p w14:paraId="17AC16A6" w14:textId="77777777" w:rsidR="003F38A0" w:rsidRPr="003F38A0" w:rsidRDefault="003F38A0" w:rsidP="003F38A0">
      <w:pPr>
        <w:rPr>
          <w:rFonts w:asciiTheme="minorBidi" w:hAnsiTheme="minorBidi"/>
          <w:b/>
          <w:bCs/>
          <w:sz w:val="24"/>
          <w:szCs w:val="24"/>
          <w:lang w:val="en-GB"/>
        </w:rPr>
      </w:pPr>
    </w:p>
    <w:p w14:paraId="7668E0D3" w14:textId="1F969774" w:rsidR="003F38A0" w:rsidRPr="00685C16" w:rsidRDefault="003F38A0" w:rsidP="003F38A0">
      <w:pPr>
        <w:rPr>
          <w:rFonts w:asciiTheme="minorBidi" w:hAnsiTheme="minorBidi"/>
          <w:szCs w:val="24"/>
        </w:rPr>
      </w:pPr>
      <w:r w:rsidRPr="00685C16">
        <w:rPr>
          <w:rFonts w:asciiTheme="minorBidi" w:hAnsiTheme="minorBidi"/>
          <w:noProof/>
        </w:rPr>
        <w:drawing>
          <wp:anchor distT="0" distB="0" distL="114300" distR="114300" simplePos="0" relativeHeight="251675648" behindDoc="1" locked="0" layoutInCell="1" allowOverlap="1" wp14:anchorId="04738903" wp14:editId="73136536">
            <wp:simplePos x="0" y="0"/>
            <wp:positionH relativeFrom="column">
              <wp:posOffset>2209800</wp:posOffset>
            </wp:positionH>
            <wp:positionV relativeFrom="margin">
              <wp:posOffset>4076700</wp:posOffset>
            </wp:positionV>
            <wp:extent cx="4267200" cy="2667000"/>
            <wp:effectExtent l="0" t="0" r="0" b="0"/>
            <wp:wrapThrough wrapText="bothSides">
              <wp:wrapPolygon edited="0">
                <wp:start x="0" y="0"/>
                <wp:lineTo x="0" y="21446"/>
                <wp:lineTo x="21504" y="21446"/>
                <wp:lineTo x="21504" y="0"/>
                <wp:lineTo x="0" y="0"/>
              </wp:wrapPolygon>
            </wp:wrapThrough>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685C16">
        <w:rPr>
          <w:rFonts w:asciiTheme="minorBidi" w:hAnsiTheme="minorBidi"/>
          <w:sz w:val="24"/>
          <w:szCs w:val="24"/>
          <w:lang w:val="en-GB"/>
        </w:rPr>
        <w:t>The tax management efficiency ratio has an obvious decreasing at the period 2015/2016 reaching the trough. That’s because of the</w:t>
      </w:r>
      <w:r w:rsidRPr="00685C16">
        <w:rPr>
          <w:rFonts w:asciiTheme="minorBidi" w:hAnsiTheme="minorBidi"/>
          <w:szCs w:val="24"/>
        </w:rPr>
        <w:t xml:space="preserve">net income decreased and expense management also decreased due to decrease of pre-tax operating income, interest expense and non-interest expense increases. In the period 2016/2017 the ratio started to increase again, but it went back off during 2017/2018. At the end of 2019 the ratio increased to close percentage of the start of 2015. </w:t>
      </w:r>
    </w:p>
    <w:p w14:paraId="3085EF92" w14:textId="09CD2F27" w:rsidR="003F38A0" w:rsidRPr="00685C16" w:rsidRDefault="003F38A0" w:rsidP="003F38A0">
      <w:pPr>
        <w:rPr>
          <w:rFonts w:asciiTheme="minorBidi" w:hAnsiTheme="minorBidi"/>
          <w:sz w:val="24"/>
          <w:szCs w:val="24"/>
          <w:lang w:val="en-GB"/>
        </w:rPr>
      </w:pPr>
    </w:p>
    <w:p w14:paraId="3A7B92E3" w14:textId="28C8A0F7" w:rsidR="003F38A0" w:rsidRPr="00685C16" w:rsidRDefault="003F38A0" w:rsidP="003F38A0">
      <w:pPr>
        <w:rPr>
          <w:rFonts w:asciiTheme="minorBidi" w:hAnsiTheme="minorBidi"/>
          <w:sz w:val="24"/>
          <w:szCs w:val="24"/>
          <w:lang w:val="en-GB"/>
        </w:rPr>
      </w:pPr>
      <w:r w:rsidRPr="00685C16">
        <w:rPr>
          <w:rFonts w:asciiTheme="minorBidi" w:hAnsiTheme="minorBidi"/>
          <w:noProof/>
        </w:rPr>
        <w:lastRenderedPageBreak/>
        <w:drawing>
          <wp:anchor distT="0" distB="0" distL="114300" distR="114300" simplePos="0" relativeHeight="251664384" behindDoc="1" locked="0" layoutInCell="1" allowOverlap="1" wp14:anchorId="63497847" wp14:editId="6221B058">
            <wp:simplePos x="0" y="0"/>
            <wp:positionH relativeFrom="column">
              <wp:posOffset>2457450</wp:posOffset>
            </wp:positionH>
            <wp:positionV relativeFrom="margin">
              <wp:posOffset>9525</wp:posOffset>
            </wp:positionV>
            <wp:extent cx="4029075" cy="2171700"/>
            <wp:effectExtent l="0" t="0" r="9525" b="0"/>
            <wp:wrapTight wrapText="bothSides">
              <wp:wrapPolygon edited="0">
                <wp:start x="0" y="0"/>
                <wp:lineTo x="0" y="21411"/>
                <wp:lineTo x="21549" y="21411"/>
                <wp:lineTo x="21549"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685C16">
        <w:rPr>
          <w:rFonts w:asciiTheme="minorBidi" w:hAnsiTheme="minorBidi"/>
          <w:sz w:val="24"/>
          <w:szCs w:val="24"/>
          <w:lang w:val="en-GB"/>
        </w:rPr>
        <w:t xml:space="preserve">The asset utilization ratio is gradually increasing because of the increase of total assets year over year within the five years </w:t>
      </w:r>
    </w:p>
    <w:p w14:paraId="31BED1C0" w14:textId="5A43C482" w:rsidR="003F38A0" w:rsidRPr="00685C16" w:rsidRDefault="003F38A0" w:rsidP="003F38A0">
      <w:pPr>
        <w:rPr>
          <w:rFonts w:asciiTheme="minorBidi" w:hAnsiTheme="minorBidi"/>
          <w:sz w:val="24"/>
          <w:szCs w:val="24"/>
          <w:lang w:val="en-GB"/>
        </w:rPr>
      </w:pPr>
    </w:p>
    <w:p w14:paraId="008190F0" w14:textId="471EF10F" w:rsidR="003F38A0" w:rsidRPr="00685C16" w:rsidRDefault="003F38A0" w:rsidP="003F38A0">
      <w:pPr>
        <w:rPr>
          <w:rFonts w:asciiTheme="minorBidi" w:hAnsiTheme="minorBidi"/>
          <w:sz w:val="24"/>
          <w:szCs w:val="24"/>
          <w:lang w:val="en-GB"/>
        </w:rPr>
      </w:pPr>
    </w:p>
    <w:p w14:paraId="6564BA39" w14:textId="14806313" w:rsidR="003F38A0" w:rsidRPr="00685C16" w:rsidRDefault="002206CC" w:rsidP="003F38A0">
      <w:pPr>
        <w:rPr>
          <w:rFonts w:asciiTheme="minorBidi" w:hAnsiTheme="minorBidi"/>
          <w:sz w:val="24"/>
          <w:szCs w:val="24"/>
          <w:lang w:val="en-GB" w:bidi="ar-EG"/>
        </w:rPr>
      </w:pPr>
      <w:r w:rsidRPr="00685C16">
        <w:rPr>
          <w:rFonts w:asciiTheme="minorBidi" w:hAnsiTheme="minorBidi"/>
          <w:noProof/>
        </w:rPr>
        <w:drawing>
          <wp:anchor distT="0" distB="0" distL="114300" distR="114300" simplePos="0" relativeHeight="251671552" behindDoc="1" locked="0" layoutInCell="1" allowOverlap="1" wp14:anchorId="2DB5C928" wp14:editId="58A3BCBF">
            <wp:simplePos x="0" y="0"/>
            <wp:positionH relativeFrom="column">
              <wp:posOffset>2476500</wp:posOffset>
            </wp:positionH>
            <wp:positionV relativeFrom="page">
              <wp:posOffset>3333750</wp:posOffset>
            </wp:positionV>
            <wp:extent cx="4019550" cy="2314575"/>
            <wp:effectExtent l="0" t="0" r="0" b="9525"/>
            <wp:wrapTight wrapText="bothSides">
              <wp:wrapPolygon edited="0">
                <wp:start x="0" y="0"/>
                <wp:lineTo x="0" y="21511"/>
                <wp:lineTo x="21498" y="21511"/>
                <wp:lineTo x="21498" y="0"/>
                <wp:lineTo x="0" y="0"/>
              </wp:wrapPolygon>
            </wp:wrapTight>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3F38A0" w:rsidRPr="00685C16">
        <w:rPr>
          <w:rFonts w:asciiTheme="minorBidi" w:hAnsiTheme="minorBidi"/>
          <w:sz w:val="24"/>
          <w:szCs w:val="24"/>
          <w:lang w:val="en-GB"/>
        </w:rPr>
        <w:t xml:space="preserve">The QNB bank had a good expense managing at the period of 2016/2018 </w:t>
      </w:r>
      <w:r w:rsidR="003F38A0" w:rsidRPr="00685C16">
        <w:rPr>
          <w:rFonts w:asciiTheme="minorBidi" w:hAnsiTheme="minorBidi"/>
          <w:sz w:val="24"/>
          <w:szCs w:val="24"/>
          <w:lang w:val="en-GB" w:bidi="ar-EG"/>
        </w:rPr>
        <w:t xml:space="preserve">other than the periods 2015/2016 and 2018/2019. Especially in 2016 as it reached the lowest percentage. </w:t>
      </w:r>
    </w:p>
    <w:p w14:paraId="5E96DDD4" w14:textId="77777777" w:rsidR="002206CC" w:rsidRDefault="002206CC" w:rsidP="003F38A0">
      <w:pPr>
        <w:rPr>
          <w:rFonts w:asciiTheme="minorBidi" w:hAnsiTheme="minorBidi"/>
          <w:sz w:val="24"/>
          <w:szCs w:val="24"/>
          <w:lang w:val="en-GB" w:bidi="ar-EG"/>
        </w:rPr>
      </w:pPr>
    </w:p>
    <w:p w14:paraId="57F72365" w14:textId="11967ADD" w:rsidR="003F38A0" w:rsidRPr="00685C16" w:rsidRDefault="002206CC" w:rsidP="003F38A0">
      <w:pPr>
        <w:rPr>
          <w:rFonts w:asciiTheme="minorBidi" w:hAnsiTheme="minorBidi"/>
          <w:sz w:val="24"/>
          <w:szCs w:val="24"/>
          <w:lang w:val="en-GB" w:bidi="ar-EG"/>
        </w:rPr>
      </w:pPr>
      <w:r w:rsidRPr="00685C16">
        <w:rPr>
          <w:rFonts w:asciiTheme="minorBidi" w:hAnsiTheme="minorBidi"/>
          <w:noProof/>
        </w:rPr>
        <w:drawing>
          <wp:anchor distT="0" distB="0" distL="114300" distR="114300" simplePos="0" relativeHeight="251672576" behindDoc="1" locked="0" layoutInCell="1" allowOverlap="1" wp14:anchorId="4C0F6399" wp14:editId="44858C81">
            <wp:simplePos x="0" y="0"/>
            <wp:positionH relativeFrom="margin">
              <wp:posOffset>2466975</wp:posOffset>
            </wp:positionH>
            <wp:positionV relativeFrom="page">
              <wp:posOffset>5991225</wp:posOffset>
            </wp:positionV>
            <wp:extent cx="4019550" cy="2266950"/>
            <wp:effectExtent l="0" t="0" r="0" b="0"/>
            <wp:wrapThrough wrapText="bothSides">
              <wp:wrapPolygon edited="0">
                <wp:start x="0" y="0"/>
                <wp:lineTo x="0" y="21418"/>
                <wp:lineTo x="21498" y="21418"/>
                <wp:lineTo x="21498" y="0"/>
                <wp:lineTo x="0" y="0"/>
              </wp:wrapPolygon>
            </wp:wrapThrough>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3F38A0" w:rsidRPr="00685C16">
        <w:rPr>
          <w:rFonts w:asciiTheme="minorBidi" w:hAnsiTheme="minorBidi"/>
          <w:sz w:val="24"/>
          <w:szCs w:val="24"/>
          <w:lang w:val="en-GB" w:bidi="ar-EG"/>
        </w:rPr>
        <w:t>The earning per share margin shows a positive curve as its increase gradually</w:t>
      </w:r>
      <w:r w:rsidR="003F38A0" w:rsidRPr="00685C16">
        <w:rPr>
          <w:rFonts w:asciiTheme="minorBidi" w:hAnsiTheme="minorBidi"/>
          <w:sz w:val="24"/>
          <w:szCs w:val="24"/>
          <w:rtl/>
          <w:lang w:val="en-GB" w:bidi="ar-EG"/>
        </w:rPr>
        <w:t xml:space="preserve"> </w:t>
      </w:r>
      <w:r w:rsidR="003F38A0" w:rsidRPr="00685C16">
        <w:rPr>
          <w:rFonts w:asciiTheme="minorBidi" w:hAnsiTheme="minorBidi"/>
          <w:sz w:val="24"/>
          <w:szCs w:val="24"/>
          <w:lang w:val="en-GB" w:bidi="ar-EG"/>
        </w:rPr>
        <w:t>every year due to the increase of net income.</w:t>
      </w:r>
    </w:p>
    <w:p w14:paraId="3F15CAAF" w14:textId="1D87E0A0" w:rsidR="003F38A0" w:rsidRPr="00685C16" w:rsidRDefault="003F38A0" w:rsidP="003F38A0">
      <w:pPr>
        <w:rPr>
          <w:rFonts w:asciiTheme="minorBidi" w:hAnsiTheme="minorBidi"/>
          <w:sz w:val="24"/>
          <w:szCs w:val="24"/>
          <w:lang w:val="en-GB" w:bidi="ar-EG"/>
        </w:rPr>
      </w:pPr>
    </w:p>
    <w:p w14:paraId="420D721E" w14:textId="7296786A" w:rsidR="003F38A0" w:rsidRPr="00685C16" w:rsidRDefault="003F38A0" w:rsidP="003F38A0">
      <w:pPr>
        <w:rPr>
          <w:rFonts w:asciiTheme="minorBidi" w:hAnsiTheme="minorBidi"/>
          <w:sz w:val="24"/>
          <w:szCs w:val="24"/>
          <w:lang w:val="en-GB" w:bidi="ar-EG"/>
        </w:rPr>
      </w:pPr>
    </w:p>
    <w:p w14:paraId="18DFBADF" w14:textId="77777777" w:rsidR="003F38A0" w:rsidRPr="00685C16" w:rsidRDefault="003F38A0" w:rsidP="003F38A0">
      <w:pPr>
        <w:rPr>
          <w:rFonts w:asciiTheme="minorBidi" w:hAnsiTheme="minorBidi"/>
          <w:sz w:val="24"/>
          <w:szCs w:val="24"/>
          <w:lang w:val="en-GB" w:bidi="ar-EG"/>
        </w:rPr>
      </w:pPr>
    </w:p>
    <w:p w14:paraId="14651E44" w14:textId="77777777" w:rsidR="002206CC" w:rsidRDefault="002206CC" w:rsidP="003F38A0">
      <w:pPr>
        <w:rPr>
          <w:rFonts w:asciiTheme="minorBidi" w:hAnsiTheme="minorBidi"/>
          <w:b/>
          <w:bCs/>
          <w:sz w:val="24"/>
          <w:szCs w:val="24"/>
          <w:lang w:val="en-GB" w:bidi="ar-EG"/>
        </w:rPr>
      </w:pPr>
    </w:p>
    <w:p w14:paraId="1D6C0FCA" w14:textId="0D61BE8A" w:rsidR="003F38A0" w:rsidRPr="002206CC" w:rsidRDefault="003F38A0" w:rsidP="002206CC">
      <w:pPr>
        <w:pStyle w:val="Heading2"/>
        <w:rPr>
          <w:rFonts w:asciiTheme="minorBidi" w:hAnsiTheme="minorBidi" w:cstheme="minorBidi"/>
          <w:b/>
          <w:bCs/>
          <w:color w:val="1F3864" w:themeColor="accent1" w:themeShade="80"/>
          <w:sz w:val="32"/>
          <w:szCs w:val="32"/>
          <w:lang w:val="en-GB" w:bidi="ar-EG"/>
        </w:rPr>
      </w:pPr>
      <w:bookmarkStart w:id="8" w:name="_Toc59103029"/>
      <w:r w:rsidRPr="002206CC">
        <w:rPr>
          <w:rFonts w:asciiTheme="minorBidi" w:hAnsiTheme="minorBidi" w:cstheme="minorBidi"/>
          <w:b/>
          <w:bCs/>
          <w:color w:val="1F3864" w:themeColor="accent1" w:themeShade="80"/>
          <w:sz w:val="32"/>
          <w:szCs w:val="32"/>
          <w:lang w:val="en-GB" w:bidi="ar-EG"/>
        </w:rPr>
        <w:lastRenderedPageBreak/>
        <w:t xml:space="preserve">Industry </w:t>
      </w:r>
      <w:r w:rsidR="002206CC">
        <w:rPr>
          <w:rFonts w:asciiTheme="minorBidi" w:hAnsiTheme="minorBidi" w:cstheme="minorBidi"/>
          <w:b/>
          <w:bCs/>
          <w:color w:val="1F3864" w:themeColor="accent1" w:themeShade="80"/>
          <w:sz w:val="32"/>
          <w:szCs w:val="32"/>
          <w:lang w:val="en-GB" w:bidi="ar-EG"/>
        </w:rPr>
        <w:t>A</w:t>
      </w:r>
      <w:r w:rsidRPr="002206CC">
        <w:rPr>
          <w:rFonts w:asciiTheme="minorBidi" w:hAnsiTheme="minorBidi" w:cstheme="minorBidi"/>
          <w:b/>
          <w:bCs/>
          <w:color w:val="1F3864" w:themeColor="accent1" w:themeShade="80"/>
          <w:sz w:val="32"/>
          <w:szCs w:val="32"/>
          <w:lang w:val="en-GB" w:bidi="ar-EG"/>
        </w:rPr>
        <w:t>verage</w:t>
      </w:r>
      <w:bookmarkEnd w:id="8"/>
      <w:r w:rsidRPr="002206CC">
        <w:rPr>
          <w:rFonts w:asciiTheme="minorBidi" w:hAnsiTheme="minorBidi" w:cstheme="minorBidi"/>
          <w:b/>
          <w:bCs/>
          <w:color w:val="1F3864" w:themeColor="accent1" w:themeShade="80"/>
          <w:sz w:val="32"/>
          <w:szCs w:val="32"/>
          <w:lang w:val="en-GB" w:bidi="ar-EG"/>
        </w:rPr>
        <w:t xml:space="preserve"> </w:t>
      </w:r>
    </w:p>
    <w:p w14:paraId="55A6754C" w14:textId="77777777" w:rsidR="003F38A0" w:rsidRPr="002206CC" w:rsidRDefault="003F38A0" w:rsidP="002206CC">
      <w:pPr>
        <w:pStyle w:val="Heading3"/>
        <w:numPr>
          <w:ilvl w:val="0"/>
          <w:numId w:val="18"/>
        </w:numPr>
        <w:rPr>
          <w:rFonts w:asciiTheme="minorBidi" w:hAnsiTheme="minorBidi" w:cstheme="minorBidi"/>
          <w:b/>
          <w:bCs/>
          <w:color w:val="2F5496" w:themeColor="accent1" w:themeShade="BF"/>
          <w:sz w:val="28"/>
          <w:szCs w:val="28"/>
          <w:lang w:val="en-GB" w:bidi="ar-EG"/>
        </w:rPr>
      </w:pPr>
      <w:bookmarkStart w:id="9" w:name="_Toc59103030"/>
      <w:r w:rsidRPr="002206CC">
        <w:rPr>
          <w:rFonts w:asciiTheme="minorBidi" w:hAnsiTheme="minorBidi" w:cstheme="minorBidi"/>
          <w:b/>
          <w:bCs/>
          <w:color w:val="2F5496" w:themeColor="accent1" w:themeShade="BF"/>
          <w:sz w:val="28"/>
          <w:szCs w:val="28"/>
          <w:lang w:val="en-GB" w:bidi="ar-EG"/>
        </w:rPr>
        <w:t>ROA</w:t>
      </w:r>
      <w:bookmarkEnd w:id="9"/>
      <w:r w:rsidRPr="002206CC">
        <w:rPr>
          <w:rFonts w:asciiTheme="minorBidi" w:hAnsiTheme="minorBidi" w:cstheme="minorBidi"/>
          <w:b/>
          <w:bCs/>
          <w:color w:val="2F5496" w:themeColor="accent1" w:themeShade="BF"/>
          <w:sz w:val="28"/>
          <w:szCs w:val="28"/>
          <w:lang w:val="en-GB" w:bidi="ar-EG"/>
        </w:rPr>
        <w:t xml:space="preserve"> </w:t>
      </w:r>
    </w:p>
    <w:p w14:paraId="7EECC6D4" w14:textId="4FF922D0" w:rsidR="003F38A0" w:rsidRPr="00685C16" w:rsidRDefault="002206CC" w:rsidP="003F38A0">
      <w:pPr>
        <w:rPr>
          <w:rFonts w:asciiTheme="minorBidi" w:hAnsiTheme="minorBidi"/>
          <w:sz w:val="24"/>
          <w:szCs w:val="24"/>
          <w:lang w:val="en-GB" w:bidi="ar-EG"/>
        </w:rPr>
      </w:pPr>
      <w:r w:rsidRPr="00685C16">
        <w:rPr>
          <w:rFonts w:asciiTheme="minorBidi" w:hAnsiTheme="minorBidi"/>
          <w:noProof/>
        </w:rPr>
        <w:drawing>
          <wp:anchor distT="0" distB="0" distL="114300" distR="114300" simplePos="0" relativeHeight="251665408" behindDoc="1" locked="0" layoutInCell="1" allowOverlap="1" wp14:anchorId="398CB2FE" wp14:editId="14D96D18">
            <wp:simplePos x="0" y="0"/>
            <wp:positionH relativeFrom="column">
              <wp:posOffset>2466975</wp:posOffset>
            </wp:positionH>
            <wp:positionV relativeFrom="page">
              <wp:posOffset>2152650</wp:posOffset>
            </wp:positionV>
            <wp:extent cx="4019550" cy="2695575"/>
            <wp:effectExtent l="0" t="0" r="0" b="9525"/>
            <wp:wrapThrough wrapText="bothSides">
              <wp:wrapPolygon edited="0">
                <wp:start x="0" y="0"/>
                <wp:lineTo x="0" y="21524"/>
                <wp:lineTo x="21498" y="21524"/>
                <wp:lineTo x="21498" y="0"/>
                <wp:lineTo x="0" y="0"/>
              </wp:wrapPolygon>
            </wp:wrapThrough>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3F38A0" w:rsidRPr="00685C16">
        <w:rPr>
          <w:rFonts w:asciiTheme="minorBidi" w:hAnsiTheme="minorBidi"/>
          <w:sz w:val="24"/>
          <w:szCs w:val="24"/>
          <w:lang w:val="en-GB" w:bidi="ar-EG"/>
        </w:rPr>
        <w:t>As shown in the graph the period 2015/2016 experienced a decline in ROA of QNB bank and the central bank of Egypt (CBE) which represents the country overall return on assets. While the ROA of AAIB bank has increased reaching 2.5% which is the highest percentage of the bank ROA results among the five years. On this period QNB bank and AAIB banks were below the industry average, taking into consideration that at the end of the period the AAIB curve exceeded the CBE curve. This period AAIB bank got the highest ROA percentage at the end of the period despite the high percentage of CBE at the start of 2015</w:t>
      </w:r>
    </w:p>
    <w:p w14:paraId="5C94B085" w14:textId="6C7141E0" w:rsidR="003F38A0" w:rsidRPr="00685C16" w:rsidRDefault="003F38A0" w:rsidP="003F38A0">
      <w:pPr>
        <w:rPr>
          <w:rFonts w:asciiTheme="minorBidi" w:hAnsiTheme="minorBidi"/>
          <w:sz w:val="24"/>
          <w:szCs w:val="24"/>
          <w:lang w:val="en-GB" w:bidi="ar-EG"/>
        </w:rPr>
      </w:pPr>
      <w:r w:rsidRPr="00685C16">
        <w:rPr>
          <w:rFonts w:asciiTheme="minorBidi" w:hAnsiTheme="minorBidi"/>
          <w:sz w:val="24"/>
          <w:szCs w:val="24"/>
          <w:lang w:val="en-GB" w:bidi="ar-EG"/>
        </w:rPr>
        <w:t xml:space="preserve">The period 2016/2017 the CBE Return on average assets has been declining, unlike the previous period the QNB ROA increased while the AAIB ROA decreased. The result of the declining in CBE curve; despite the decreasing of AAIB ROA curve, both QNB and AAIB ROA curves were above the industry average. At this period QNB bank got the highest ROA percentage. </w:t>
      </w:r>
    </w:p>
    <w:p w14:paraId="4F44C1BF" w14:textId="77777777" w:rsidR="003F38A0" w:rsidRPr="00685C16" w:rsidRDefault="003F38A0" w:rsidP="003F38A0">
      <w:pPr>
        <w:rPr>
          <w:rFonts w:asciiTheme="minorBidi" w:hAnsiTheme="minorBidi"/>
          <w:sz w:val="24"/>
          <w:szCs w:val="24"/>
          <w:lang w:val="en-GB" w:bidi="ar-EG"/>
        </w:rPr>
      </w:pPr>
      <w:r w:rsidRPr="00685C16">
        <w:rPr>
          <w:rFonts w:asciiTheme="minorBidi" w:hAnsiTheme="minorBidi"/>
          <w:sz w:val="24"/>
          <w:szCs w:val="24"/>
          <w:lang w:val="en-GB" w:bidi="ar-EG"/>
        </w:rPr>
        <w:t xml:space="preserve">2017/2018 the ROA of the CBE was continue declining reaching the trough. On the other hand, the QNB curve increased and the ROA of AAIB curve also increased </w:t>
      </w:r>
      <w:r w:rsidRPr="00685C16">
        <w:rPr>
          <w:rFonts w:asciiTheme="minorBidi" w:hAnsiTheme="minorBidi"/>
          <w:sz w:val="24"/>
          <w:szCs w:val="24"/>
          <w:lang w:val="en-GB" w:bidi="ar-EG"/>
        </w:rPr>
        <w:lastRenderedPageBreak/>
        <w:t>weakly by 0.5%. Of course, with a steady decline of CBE curve the two banks ROA curves were above the industry average with Close proportions.</w:t>
      </w:r>
    </w:p>
    <w:p w14:paraId="1BC997A7" w14:textId="77777777" w:rsidR="003F38A0" w:rsidRPr="00685C16" w:rsidRDefault="003F38A0" w:rsidP="003F38A0">
      <w:pPr>
        <w:rPr>
          <w:rFonts w:asciiTheme="minorBidi" w:hAnsiTheme="minorBidi"/>
          <w:sz w:val="24"/>
          <w:szCs w:val="24"/>
          <w:lang w:val="en-GB" w:bidi="ar-EG"/>
        </w:rPr>
      </w:pPr>
      <w:r w:rsidRPr="00685C16">
        <w:rPr>
          <w:rFonts w:asciiTheme="minorBidi" w:hAnsiTheme="minorBidi"/>
          <w:sz w:val="24"/>
          <w:szCs w:val="24"/>
          <w:lang w:val="en-GB" w:bidi="ar-EG"/>
        </w:rPr>
        <w:t xml:space="preserve">In the last period 2018/2019 the CBE curve finally started to increase after 4 years of decreasing, the QNB curve increased reaching the peak by 3%. the AAIB bank curve went back off to the first point with a close ROA percentage to 2015 1.5%. at the end of the period AAIB ROA curve declined to be below the industry average while the QNB ROA was at the top. </w:t>
      </w:r>
    </w:p>
    <w:p w14:paraId="3D894610" w14:textId="79D7600A" w:rsidR="003F38A0" w:rsidRPr="00685C16" w:rsidRDefault="00FE136F" w:rsidP="002206CC">
      <w:pPr>
        <w:rPr>
          <w:rFonts w:asciiTheme="minorBidi" w:hAnsiTheme="minorBidi"/>
          <w:sz w:val="24"/>
          <w:szCs w:val="24"/>
          <w:lang w:val="en-GB" w:bidi="ar-EG"/>
        </w:rPr>
      </w:pPr>
      <w:sdt>
        <w:sdtPr>
          <w:rPr>
            <w:rFonts w:asciiTheme="minorBidi" w:hAnsiTheme="minorBidi"/>
            <w:sz w:val="24"/>
            <w:szCs w:val="24"/>
            <w:lang w:val="en-GB" w:bidi="ar-EG"/>
          </w:rPr>
          <w:id w:val="142398999"/>
          <w:citation/>
        </w:sdtPr>
        <w:sdtEndPr/>
        <w:sdtContent>
          <w:r w:rsidR="003F38A0" w:rsidRPr="00685C16">
            <w:rPr>
              <w:rFonts w:asciiTheme="minorBidi" w:hAnsiTheme="minorBidi"/>
              <w:sz w:val="24"/>
              <w:szCs w:val="24"/>
              <w:lang w:val="en-GB" w:bidi="ar-EG"/>
            </w:rPr>
            <w:fldChar w:fldCharType="begin"/>
          </w:r>
          <w:r w:rsidR="003F38A0" w:rsidRPr="00685C16">
            <w:rPr>
              <w:rFonts w:asciiTheme="minorBidi" w:hAnsiTheme="minorBidi"/>
              <w:sz w:val="24"/>
              <w:szCs w:val="24"/>
              <w:lang w:val="en-GB" w:bidi="ar-EG"/>
            </w:rPr>
            <w:instrText xml:space="preserve"> CITATION CBE19 \l 2057 </w:instrText>
          </w:r>
          <w:r w:rsidR="003F38A0" w:rsidRPr="00685C16">
            <w:rPr>
              <w:rFonts w:asciiTheme="minorBidi" w:hAnsiTheme="minorBidi"/>
              <w:sz w:val="24"/>
              <w:szCs w:val="24"/>
              <w:lang w:val="en-GB" w:bidi="ar-EG"/>
            </w:rPr>
            <w:fldChar w:fldCharType="separate"/>
          </w:r>
          <w:r w:rsidR="003F38A0" w:rsidRPr="00685C16">
            <w:rPr>
              <w:rFonts w:asciiTheme="minorBidi" w:hAnsiTheme="minorBidi"/>
              <w:noProof/>
              <w:sz w:val="24"/>
              <w:szCs w:val="24"/>
              <w:lang w:val="en-GB" w:bidi="ar-EG"/>
            </w:rPr>
            <w:t>(CBE, 2019)</w:t>
          </w:r>
          <w:r w:rsidR="003F38A0" w:rsidRPr="00685C16">
            <w:rPr>
              <w:rFonts w:asciiTheme="minorBidi" w:hAnsiTheme="minorBidi"/>
              <w:sz w:val="24"/>
              <w:szCs w:val="24"/>
              <w:lang w:val="en-GB" w:bidi="ar-EG"/>
            </w:rPr>
            <w:fldChar w:fldCharType="end"/>
          </w:r>
        </w:sdtContent>
      </w:sdt>
      <w:r w:rsidR="003F38A0" w:rsidRPr="00685C16">
        <w:rPr>
          <w:rFonts w:asciiTheme="minorBidi" w:hAnsiTheme="minorBidi"/>
          <w:sz w:val="24"/>
          <w:szCs w:val="24"/>
          <w:lang w:val="en-GB" w:bidi="ar-EG"/>
        </w:rPr>
        <w:t xml:space="preserve"> </w:t>
      </w:r>
      <w:sdt>
        <w:sdtPr>
          <w:rPr>
            <w:rFonts w:asciiTheme="minorBidi" w:hAnsiTheme="minorBidi"/>
            <w:sz w:val="24"/>
            <w:szCs w:val="24"/>
            <w:lang w:val="en-GB" w:bidi="ar-EG"/>
          </w:rPr>
          <w:id w:val="189041785"/>
          <w:citation/>
        </w:sdtPr>
        <w:sdtEndPr/>
        <w:sdtContent>
          <w:r w:rsidR="003F38A0" w:rsidRPr="00685C16">
            <w:rPr>
              <w:rFonts w:asciiTheme="minorBidi" w:hAnsiTheme="minorBidi"/>
              <w:sz w:val="24"/>
              <w:szCs w:val="24"/>
              <w:lang w:val="en-GB" w:bidi="ar-EG"/>
            </w:rPr>
            <w:fldChar w:fldCharType="begin"/>
          </w:r>
          <w:r w:rsidR="003F38A0" w:rsidRPr="00685C16">
            <w:rPr>
              <w:rFonts w:asciiTheme="minorBidi" w:hAnsiTheme="minorBidi"/>
              <w:sz w:val="24"/>
              <w:szCs w:val="24"/>
              <w:lang w:val="en-GB" w:bidi="ar-EG"/>
            </w:rPr>
            <w:instrText xml:space="preserve"> CITATION CBE15 \l 2057 </w:instrText>
          </w:r>
          <w:r w:rsidR="003F38A0" w:rsidRPr="00685C16">
            <w:rPr>
              <w:rFonts w:asciiTheme="minorBidi" w:hAnsiTheme="minorBidi"/>
              <w:sz w:val="24"/>
              <w:szCs w:val="24"/>
              <w:lang w:val="en-GB" w:bidi="ar-EG"/>
            </w:rPr>
            <w:fldChar w:fldCharType="separate"/>
          </w:r>
          <w:r w:rsidR="003F38A0" w:rsidRPr="00685C16">
            <w:rPr>
              <w:rFonts w:asciiTheme="minorBidi" w:hAnsiTheme="minorBidi"/>
              <w:noProof/>
              <w:sz w:val="24"/>
              <w:szCs w:val="24"/>
              <w:lang w:val="en-GB" w:bidi="ar-EG"/>
            </w:rPr>
            <w:t>(CBE, 2015)</w:t>
          </w:r>
          <w:r w:rsidR="003F38A0" w:rsidRPr="00685C16">
            <w:rPr>
              <w:rFonts w:asciiTheme="minorBidi" w:hAnsiTheme="minorBidi"/>
              <w:sz w:val="24"/>
              <w:szCs w:val="24"/>
              <w:lang w:val="en-GB" w:bidi="ar-EG"/>
            </w:rPr>
            <w:fldChar w:fldCharType="end"/>
          </w:r>
        </w:sdtContent>
      </w:sdt>
      <w:sdt>
        <w:sdtPr>
          <w:rPr>
            <w:rFonts w:asciiTheme="minorBidi" w:hAnsiTheme="minorBidi"/>
            <w:sz w:val="24"/>
            <w:szCs w:val="24"/>
            <w:lang w:val="en-GB" w:bidi="ar-EG"/>
          </w:rPr>
          <w:id w:val="805663098"/>
          <w:citation/>
        </w:sdtPr>
        <w:sdtEndPr/>
        <w:sdtContent>
          <w:r w:rsidR="003F38A0" w:rsidRPr="00685C16">
            <w:rPr>
              <w:rFonts w:asciiTheme="minorBidi" w:hAnsiTheme="minorBidi"/>
              <w:sz w:val="24"/>
              <w:szCs w:val="24"/>
              <w:lang w:val="en-GB" w:bidi="ar-EG"/>
            </w:rPr>
            <w:fldChar w:fldCharType="begin"/>
          </w:r>
          <w:r w:rsidR="003F38A0" w:rsidRPr="00685C16">
            <w:rPr>
              <w:rFonts w:asciiTheme="minorBidi" w:hAnsiTheme="minorBidi"/>
              <w:sz w:val="24"/>
              <w:szCs w:val="24"/>
              <w:lang w:val="en-GB" w:bidi="ar-EG"/>
            </w:rPr>
            <w:instrText xml:space="preserve"> CITATION Add18 \l 2057 </w:instrText>
          </w:r>
          <w:r w:rsidR="003F38A0" w:rsidRPr="00685C16">
            <w:rPr>
              <w:rFonts w:asciiTheme="minorBidi" w:hAnsiTheme="minorBidi"/>
              <w:sz w:val="24"/>
              <w:szCs w:val="24"/>
              <w:lang w:val="en-GB" w:bidi="ar-EG"/>
            </w:rPr>
            <w:fldChar w:fldCharType="separate"/>
          </w:r>
          <w:r w:rsidR="003F38A0" w:rsidRPr="00685C16">
            <w:rPr>
              <w:rFonts w:asciiTheme="minorBidi" w:hAnsiTheme="minorBidi"/>
              <w:noProof/>
              <w:sz w:val="24"/>
              <w:szCs w:val="24"/>
              <w:lang w:val="en-GB" w:bidi="ar-EG"/>
            </w:rPr>
            <w:t xml:space="preserve"> (Addis Ababa University, 2018)</w:t>
          </w:r>
          <w:r w:rsidR="003F38A0" w:rsidRPr="00685C16">
            <w:rPr>
              <w:rFonts w:asciiTheme="minorBidi" w:hAnsiTheme="minorBidi"/>
              <w:sz w:val="24"/>
              <w:szCs w:val="24"/>
              <w:lang w:val="en-GB" w:bidi="ar-EG"/>
            </w:rPr>
            <w:fldChar w:fldCharType="end"/>
          </w:r>
        </w:sdtContent>
      </w:sdt>
    </w:p>
    <w:p w14:paraId="565197EC" w14:textId="77777777" w:rsidR="003F38A0" w:rsidRPr="002206CC" w:rsidRDefault="003F38A0" w:rsidP="002206CC">
      <w:pPr>
        <w:pStyle w:val="Heading3"/>
        <w:numPr>
          <w:ilvl w:val="0"/>
          <w:numId w:val="18"/>
        </w:numPr>
        <w:rPr>
          <w:rFonts w:asciiTheme="minorBidi" w:hAnsiTheme="minorBidi" w:cstheme="minorBidi"/>
          <w:b/>
          <w:bCs/>
          <w:color w:val="2F5496" w:themeColor="accent1" w:themeShade="BF"/>
          <w:sz w:val="28"/>
          <w:szCs w:val="28"/>
          <w:lang w:bidi="ar-EG"/>
        </w:rPr>
      </w:pPr>
      <w:bookmarkStart w:id="10" w:name="_Toc59103031"/>
      <w:r w:rsidRPr="002206CC">
        <w:rPr>
          <w:rFonts w:asciiTheme="minorBidi" w:hAnsiTheme="minorBidi" w:cstheme="minorBidi"/>
          <w:b/>
          <w:bCs/>
          <w:color w:val="2F5496" w:themeColor="accent1" w:themeShade="BF"/>
          <w:sz w:val="28"/>
          <w:szCs w:val="28"/>
          <w:lang w:bidi="ar-EG"/>
        </w:rPr>
        <w:t>ROE</w:t>
      </w:r>
      <w:bookmarkEnd w:id="10"/>
      <w:r w:rsidRPr="002206CC">
        <w:rPr>
          <w:rFonts w:asciiTheme="minorBidi" w:hAnsiTheme="minorBidi" w:cstheme="minorBidi"/>
          <w:b/>
          <w:bCs/>
          <w:color w:val="2F5496" w:themeColor="accent1" w:themeShade="BF"/>
          <w:sz w:val="28"/>
          <w:szCs w:val="28"/>
          <w:lang w:bidi="ar-EG"/>
        </w:rPr>
        <w:t xml:space="preserve"> </w:t>
      </w:r>
    </w:p>
    <w:p w14:paraId="4FFF3BB4" w14:textId="5ECAC315" w:rsidR="003F38A0" w:rsidRPr="00685C16" w:rsidRDefault="002206CC" w:rsidP="003F38A0">
      <w:pPr>
        <w:rPr>
          <w:rFonts w:asciiTheme="minorBidi" w:hAnsiTheme="minorBidi"/>
          <w:sz w:val="24"/>
          <w:szCs w:val="24"/>
          <w:lang w:val="en-GB" w:bidi="ar-EG"/>
        </w:rPr>
      </w:pPr>
      <w:r w:rsidRPr="00685C16">
        <w:rPr>
          <w:rFonts w:asciiTheme="minorBidi" w:hAnsiTheme="minorBidi"/>
          <w:noProof/>
        </w:rPr>
        <w:drawing>
          <wp:anchor distT="0" distB="0" distL="114300" distR="114300" simplePos="0" relativeHeight="251666432" behindDoc="1" locked="0" layoutInCell="1" allowOverlap="1" wp14:anchorId="64FD92EF" wp14:editId="76B29CFE">
            <wp:simplePos x="0" y="0"/>
            <wp:positionH relativeFrom="column">
              <wp:posOffset>2657475</wp:posOffset>
            </wp:positionH>
            <wp:positionV relativeFrom="margin">
              <wp:posOffset>3867150</wp:posOffset>
            </wp:positionV>
            <wp:extent cx="3819525" cy="2486025"/>
            <wp:effectExtent l="0" t="0" r="9525" b="9525"/>
            <wp:wrapThrough wrapText="bothSides">
              <wp:wrapPolygon edited="0">
                <wp:start x="0" y="0"/>
                <wp:lineTo x="0" y="21517"/>
                <wp:lineTo x="21546" y="21517"/>
                <wp:lineTo x="21546" y="0"/>
                <wp:lineTo x="0" y="0"/>
              </wp:wrapPolygon>
            </wp:wrapThrough>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3F38A0" w:rsidRPr="00685C16">
        <w:rPr>
          <w:rFonts w:asciiTheme="minorBidi" w:hAnsiTheme="minorBidi"/>
          <w:sz w:val="24"/>
          <w:szCs w:val="24"/>
          <w:lang w:bidi="ar-EG"/>
        </w:rPr>
        <w:t xml:space="preserve">In the period between 2015/2016 were an increasing period. The ROE curve of CBE </w:t>
      </w:r>
      <w:r w:rsidR="003F38A0" w:rsidRPr="00685C16">
        <w:rPr>
          <w:rFonts w:asciiTheme="minorBidi" w:hAnsiTheme="minorBidi"/>
          <w:sz w:val="24"/>
          <w:szCs w:val="24"/>
          <w:lang w:val="en-GB" w:bidi="ar-EG"/>
        </w:rPr>
        <w:t xml:space="preserve">increased gradually in significant way, while the increase in ROE curve of AAIB was weak. On the other hand, the QNB decreased. At the end of the period both QNB and AAIB curves were below the industry average. </w:t>
      </w:r>
    </w:p>
    <w:p w14:paraId="0DA23D10" w14:textId="2266DA20" w:rsidR="003F38A0" w:rsidRPr="00685C16" w:rsidRDefault="003F38A0" w:rsidP="003F38A0">
      <w:pPr>
        <w:rPr>
          <w:rFonts w:asciiTheme="minorBidi" w:hAnsiTheme="minorBidi"/>
          <w:sz w:val="24"/>
          <w:szCs w:val="24"/>
          <w:lang w:val="en-GB" w:bidi="ar-EG"/>
        </w:rPr>
      </w:pPr>
      <w:r w:rsidRPr="00685C16">
        <w:rPr>
          <w:rFonts w:asciiTheme="minorBidi" w:hAnsiTheme="minorBidi"/>
          <w:sz w:val="24"/>
          <w:szCs w:val="24"/>
          <w:lang w:val="en-GB" w:bidi="ar-EG"/>
        </w:rPr>
        <w:t xml:space="preserve">In the start of 2016/2017, the CBE curve reached the peak, highest ROE percentage among the three banks during the five years with 30.9%. But as its increasing was significant the declining of the cure was too at the end of the year. QNB curve was increasing strongly to rank the highest ROE percentage of this period. At the end of the </w:t>
      </w:r>
      <w:r w:rsidRPr="00685C16">
        <w:rPr>
          <w:rFonts w:asciiTheme="minorBidi" w:hAnsiTheme="minorBidi"/>
          <w:sz w:val="24"/>
          <w:szCs w:val="24"/>
          <w:lang w:val="en-GB" w:bidi="ar-EG"/>
        </w:rPr>
        <w:lastRenderedPageBreak/>
        <w:t>year the ROE of QNB was above the industry average while the AAIB curve was still below the two curves with a decreasing in the ROE percentage.</w:t>
      </w:r>
    </w:p>
    <w:p w14:paraId="240D4C08" w14:textId="77777777" w:rsidR="003F38A0" w:rsidRPr="00685C16" w:rsidRDefault="003F38A0" w:rsidP="003F38A0">
      <w:pPr>
        <w:rPr>
          <w:rFonts w:asciiTheme="minorBidi" w:hAnsiTheme="minorBidi"/>
          <w:sz w:val="24"/>
          <w:szCs w:val="24"/>
          <w:lang w:val="en-GB" w:bidi="ar-EG"/>
        </w:rPr>
      </w:pPr>
      <w:r w:rsidRPr="00685C16">
        <w:rPr>
          <w:rFonts w:asciiTheme="minorBidi" w:hAnsiTheme="minorBidi"/>
          <w:sz w:val="24"/>
          <w:szCs w:val="24"/>
          <w:lang w:val="en-GB" w:bidi="ar-EG"/>
        </w:rPr>
        <w:t>2017/2018 had a different result, the CBE curve decreased more while QNB curve was on the top with 25% above the industry average. The AAIB curve It had no noticeable change, but it continued to fall weakly below the industry average.</w:t>
      </w:r>
    </w:p>
    <w:p w14:paraId="2D2A91BE" w14:textId="77777777" w:rsidR="003F38A0" w:rsidRPr="00685C16" w:rsidRDefault="003F38A0" w:rsidP="003F38A0">
      <w:pPr>
        <w:rPr>
          <w:rFonts w:asciiTheme="minorBidi" w:hAnsiTheme="minorBidi"/>
          <w:sz w:val="24"/>
          <w:szCs w:val="24"/>
          <w:lang w:val="en-GB" w:bidi="ar-EG"/>
        </w:rPr>
      </w:pPr>
      <w:r w:rsidRPr="00685C16">
        <w:rPr>
          <w:rFonts w:asciiTheme="minorBidi" w:hAnsiTheme="minorBidi"/>
          <w:sz w:val="24"/>
          <w:szCs w:val="24"/>
          <w:lang w:val="en-GB" w:bidi="ar-EG"/>
        </w:rPr>
        <w:t xml:space="preserve">During 2018/2019 period the CBE curve was back on the rise, and despite the unnoticeable rise of QNB curve, the ROE of QNB bank was still above the CBE curve because of the high declining the last two periods of CBE ROE. The AAIB bank curve declined more than the last periods reaching the trough with the least percentage 9.9%. </w:t>
      </w:r>
    </w:p>
    <w:p w14:paraId="26EEBD25" w14:textId="1A68394A" w:rsidR="001C40C4" w:rsidRDefault="00FE136F" w:rsidP="002206CC">
      <w:pPr>
        <w:rPr>
          <w:rFonts w:asciiTheme="minorBidi" w:hAnsiTheme="minorBidi"/>
          <w:sz w:val="24"/>
          <w:szCs w:val="24"/>
          <w:lang w:val="en-GB" w:bidi="ar-EG"/>
        </w:rPr>
      </w:pPr>
      <w:sdt>
        <w:sdtPr>
          <w:rPr>
            <w:rFonts w:asciiTheme="minorBidi" w:hAnsiTheme="minorBidi"/>
            <w:sz w:val="24"/>
            <w:szCs w:val="24"/>
            <w:lang w:val="en-GB" w:bidi="ar-EG"/>
          </w:rPr>
          <w:id w:val="1014504949"/>
          <w:citation/>
        </w:sdtPr>
        <w:sdtEndPr/>
        <w:sdtContent>
          <w:r w:rsidR="003F38A0" w:rsidRPr="00685C16">
            <w:rPr>
              <w:rFonts w:asciiTheme="minorBidi" w:hAnsiTheme="minorBidi"/>
              <w:sz w:val="24"/>
              <w:szCs w:val="24"/>
              <w:lang w:val="en-GB" w:bidi="ar-EG"/>
            </w:rPr>
            <w:fldChar w:fldCharType="begin"/>
          </w:r>
          <w:r w:rsidR="003F38A0" w:rsidRPr="00685C16">
            <w:rPr>
              <w:rFonts w:asciiTheme="minorBidi" w:hAnsiTheme="minorBidi"/>
              <w:sz w:val="24"/>
              <w:szCs w:val="24"/>
              <w:lang w:val="en-GB" w:bidi="ar-EG"/>
            </w:rPr>
            <w:instrText xml:space="preserve"> CITATION CBE19 \l 2057 </w:instrText>
          </w:r>
          <w:r w:rsidR="003F38A0" w:rsidRPr="00685C16">
            <w:rPr>
              <w:rFonts w:asciiTheme="minorBidi" w:hAnsiTheme="minorBidi"/>
              <w:sz w:val="24"/>
              <w:szCs w:val="24"/>
              <w:lang w:val="en-GB" w:bidi="ar-EG"/>
            </w:rPr>
            <w:fldChar w:fldCharType="separate"/>
          </w:r>
          <w:r w:rsidR="003F38A0" w:rsidRPr="00685C16">
            <w:rPr>
              <w:rFonts w:asciiTheme="minorBidi" w:hAnsiTheme="minorBidi"/>
              <w:noProof/>
              <w:sz w:val="24"/>
              <w:szCs w:val="24"/>
              <w:lang w:val="en-GB" w:bidi="ar-EG"/>
            </w:rPr>
            <w:t>(CBE, 2019)</w:t>
          </w:r>
          <w:r w:rsidR="003F38A0" w:rsidRPr="00685C16">
            <w:rPr>
              <w:rFonts w:asciiTheme="minorBidi" w:hAnsiTheme="minorBidi"/>
              <w:sz w:val="24"/>
              <w:szCs w:val="24"/>
              <w:lang w:val="en-GB" w:bidi="ar-EG"/>
            </w:rPr>
            <w:fldChar w:fldCharType="end"/>
          </w:r>
        </w:sdtContent>
      </w:sdt>
      <w:r w:rsidR="003F38A0" w:rsidRPr="00685C16">
        <w:rPr>
          <w:rFonts w:asciiTheme="minorBidi" w:hAnsiTheme="minorBidi"/>
          <w:sz w:val="24"/>
          <w:szCs w:val="24"/>
          <w:lang w:val="en-GB" w:bidi="ar-EG"/>
        </w:rPr>
        <w:t xml:space="preserve"> </w:t>
      </w:r>
      <w:sdt>
        <w:sdtPr>
          <w:rPr>
            <w:rFonts w:asciiTheme="minorBidi" w:hAnsiTheme="minorBidi"/>
            <w:sz w:val="24"/>
            <w:szCs w:val="24"/>
            <w:lang w:val="en-GB" w:bidi="ar-EG"/>
          </w:rPr>
          <w:id w:val="-835761606"/>
          <w:citation/>
        </w:sdtPr>
        <w:sdtEndPr/>
        <w:sdtContent>
          <w:r w:rsidR="003F38A0" w:rsidRPr="00685C16">
            <w:rPr>
              <w:rFonts w:asciiTheme="minorBidi" w:hAnsiTheme="minorBidi"/>
              <w:sz w:val="24"/>
              <w:szCs w:val="24"/>
              <w:lang w:val="en-GB" w:bidi="ar-EG"/>
            </w:rPr>
            <w:fldChar w:fldCharType="begin"/>
          </w:r>
          <w:r w:rsidR="003F38A0" w:rsidRPr="00685C16">
            <w:rPr>
              <w:rFonts w:asciiTheme="minorBidi" w:hAnsiTheme="minorBidi"/>
              <w:sz w:val="24"/>
              <w:szCs w:val="24"/>
              <w:lang w:val="en-GB" w:bidi="ar-EG"/>
            </w:rPr>
            <w:instrText xml:space="preserve"> CITATION CBE15 \l 2057 </w:instrText>
          </w:r>
          <w:r w:rsidR="003F38A0" w:rsidRPr="00685C16">
            <w:rPr>
              <w:rFonts w:asciiTheme="minorBidi" w:hAnsiTheme="minorBidi"/>
              <w:sz w:val="24"/>
              <w:szCs w:val="24"/>
              <w:lang w:val="en-GB" w:bidi="ar-EG"/>
            </w:rPr>
            <w:fldChar w:fldCharType="separate"/>
          </w:r>
          <w:r w:rsidR="003F38A0" w:rsidRPr="00685C16">
            <w:rPr>
              <w:rFonts w:asciiTheme="minorBidi" w:hAnsiTheme="minorBidi"/>
              <w:noProof/>
              <w:sz w:val="24"/>
              <w:szCs w:val="24"/>
              <w:lang w:val="en-GB" w:bidi="ar-EG"/>
            </w:rPr>
            <w:t>(CBE, 2015)</w:t>
          </w:r>
          <w:r w:rsidR="003F38A0" w:rsidRPr="00685C16">
            <w:rPr>
              <w:rFonts w:asciiTheme="minorBidi" w:hAnsiTheme="minorBidi"/>
              <w:sz w:val="24"/>
              <w:szCs w:val="24"/>
              <w:lang w:val="en-GB" w:bidi="ar-EG"/>
            </w:rPr>
            <w:fldChar w:fldCharType="end"/>
          </w:r>
        </w:sdtContent>
      </w:sdt>
      <w:r w:rsidR="003F38A0" w:rsidRPr="00685C16">
        <w:rPr>
          <w:rFonts w:asciiTheme="minorBidi" w:hAnsiTheme="minorBidi"/>
          <w:sz w:val="24"/>
          <w:szCs w:val="24"/>
          <w:lang w:val="en-GB" w:bidi="ar-EG"/>
        </w:rPr>
        <w:t xml:space="preserve"> </w:t>
      </w:r>
      <w:sdt>
        <w:sdtPr>
          <w:rPr>
            <w:rFonts w:asciiTheme="minorBidi" w:hAnsiTheme="minorBidi"/>
            <w:sz w:val="24"/>
            <w:szCs w:val="24"/>
            <w:lang w:val="en-GB" w:bidi="ar-EG"/>
          </w:rPr>
          <w:id w:val="-142122379"/>
          <w:citation/>
        </w:sdtPr>
        <w:sdtEndPr/>
        <w:sdtContent>
          <w:r w:rsidR="003F38A0" w:rsidRPr="00685C16">
            <w:rPr>
              <w:rFonts w:asciiTheme="minorBidi" w:hAnsiTheme="minorBidi"/>
              <w:sz w:val="24"/>
              <w:szCs w:val="24"/>
              <w:lang w:val="en-GB" w:bidi="ar-EG"/>
            </w:rPr>
            <w:fldChar w:fldCharType="begin"/>
          </w:r>
          <w:r w:rsidR="003F38A0" w:rsidRPr="00685C16">
            <w:rPr>
              <w:rFonts w:asciiTheme="minorBidi" w:hAnsiTheme="minorBidi"/>
              <w:sz w:val="24"/>
              <w:szCs w:val="24"/>
              <w:lang w:val="en-GB" w:bidi="ar-EG"/>
            </w:rPr>
            <w:instrText xml:space="preserve"> CITATION Add18 \l 2057 </w:instrText>
          </w:r>
          <w:r w:rsidR="003F38A0" w:rsidRPr="00685C16">
            <w:rPr>
              <w:rFonts w:asciiTheme="minorBidi" w:hAnsiTheme="minorBidi"/>
              <w:sz w:val="24"/>
              <w:szCs w:val="24"/>
              <w:lang w:val="en-GB" w:bidi="ar-EG"/>
            </w:rPr>
            <w:fldChar w:fldCharType="separate"/>
          </w:r>
          <w:r w:rsidR="003F38A0" w:rsidRPr="00685C16">
            <w:rPr>
              <w:rFonts w:asciiTheme="minorBidi" w:hAnsiTheme="minorBidi"/>
              <w:noProof/>
              <w:sz w:val="24"/>
              <w:szCs w:val="24"/>
              <w:lang w:val="en-GB" w:bidi="ar-EG"/>
            </w:rPr>
            <w:t>(Addis Ababa University, 2018)</w:t>
          </w:r>
          <w:r w:rsidR="003F38A0" w:rsidRPr="00685C16">
            <w:rPr>
              <w:rFonts w:asciiTheme="minorBidi" w:hAnsiTheme="minorBidi"/>
              <w:sz w:val="24"/>
              <w:szCs w:val="24"/>
              <w:lang w:val="en-GB" w:bidi="ar-EG"/>
            </w:rPr>
            <w:fldChar w:fldCharType="end"/>
          </w:r>
        </w:sdtContent>
      </w:sdt>
    </w:p>
    <w:p w14:paraId="5B3CC451" w14:textId="77777777" w:rsidR="00111F31" w:rsidRPr="00111F31" w:rsidRDefault="00111F31" w:rsidP="00111F31">
      <w:pPr>
        <w:pStyle w:val="Heading2"/>
        <w:rPr>
          <w:rFonts w:asciiTheme="minorBidi" w:hAnsiTheme="minorBidi" w:cstheme="minorBidi"/>
          <w:b/>
          <w:bCs/>
          <w:color w:val="1F3864" w:themeColor="accent1" w:themeShade="80"/>
          <w:sz w:val="32"/>
          <w:szCs w:val="32"/>
        </w:rPr>
      </w:pPr>
      <w:bookmarkStart w:id="11" w:name="_Toc59103032"/>
      <w:r w:rsidRPr="00111F31">
        <w:rPr>
          <w:rFonts w:asciiTheme="minorBidi" w:hAnsiTheme="minorBidi" w:cstheme="minorBidi"/>
          <w:b/>
          <w:bCs/>
          <w:color w:val="1F3864" w:themeColor="accent1" w:themeShade="80"/>
          <w:sz w:val="32"/>
          <w:szCs w:val="32"/>
        </w:rPr>
        <w:t>Arab African International Bank</w:t>
      </w:r>
      <w:bookmarkEnd w:id="11"/>
    </w:p>
    <w:p w14:paraId="45444665" w14:textId="77777777" w:rsidR="00111F31" w:rsidRPr="00111F31" w:rsidRDefault="00111F31" w:rsidP="00111F31">
      <w:pPr>
        <w:pStyle w:val="Heading3"/>
        <w:rPr>
          <w:rFonts w:asciiTheme="minorBidi" w:hAnsiTheme="minorBidi" w:cstheme="minorBidi"/>
          <w:b/>
          <w:bCs/>
          <w:color w:val="1F3864" w:themeColor="accent1" w:themeShade="80"/>
          <w:sz w:val="32"/>
          <w:szCs w:val="32"/>
        </w:rPr>
      </w:pPr>
      <w:bookmarkStart w:id="12" w:name="_Toc59103033"/>
      <w:r w:rsidRPr="00111F31">
        <w:rPr>
          <w:rFonts w:asciiTheme="minorBidi" w:hAnsiTheme="minorBidi" w:cstheme="minorBidi"/>
          <w:b/>
          <w:bCs/>
          <w:noProof/>
          <w:color w:val="2F5496" w:themeColor="accent1" w:themeShade="BF"/>
          <w:sz w:val="22"/>
          <w:szCs w:val="22"/>
        </w:rPr>
        <w:drawing>
          <wp:anchor distT="0" distB="0" distL="114300" distR="114300" simplePos="0" relativeHeight="251677696" behindDoc="0" locked="0" layoutInCell="1" allowOverlap="1" wp14:anchorId="75711DA3" wp14:editId="40058B30">
            <wp:simplePos x="0" y="0"/>
            <wp:positionH relativeFrom="page">
              <wp:posOffset>3571875</wp:posOffset>
            </wp:positionH>
            <wp:positionV relativeFrom="paragraph">
              <wp:posOffset>403225</wp:posOffset>
            </wp:positionV>
            <wp:extent cx="3829050" cy="2619375"/>
            <wp:effectExtent l="0" t="0" r="0" b="9525"/>
            <wp:wrapThrough wrapText="bothSides">
              <wp:wrapPolygon edited="0">
                <wp:start x="0" y="0"/>
                <wp:lineTo x="0" y="21521"/>
                <wp:lineTo x="21493" y="21521"/>
                <wp:lineTo x="21493" y="0"/>
                <wp:lineTo x="0" y="0"/>
              </wp:wrapPolygon>
            </wp:wrapThrough>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Pr="00111F31">
        <w:rPr>
          <w:rFonts w:asciiTheme="minorBidi" w:hAnsiTheme="minorBidi" w:cstheme="minorBidi"/>
          <w:b/>
          <w:bCs/>
          <w:color w:val="2F5496" w:themeColor="accent1" w:themeShade="BF"/>
          <w:sz w:val="28"/>
          <w:szCs w:val="28"/>
        </w:rPr>
        <w:t>ROA Analysis</w:t>
      </w:r>
      <w:bookmarkEnd w:id="12"/>
    </w:p>
    <w:p w14:paraId="674D6AE7" w14:textId="77777777" w:rsidR="00111F31" w:rsidRPr="00111F31" w:rsidRDefault="00111F31" w:rsidP="00111F31">
      <w:pPr>
        <w:rPr>
          <w:rFonts w:asciiTheme="minorBidi" w:hAnsiTheme="minorBidi"/>
          <w:sz w:val="24"/>
          <w:szCs w:val="24"/>
        </w:rPr>
      </w:pPr>
      <w:r w:rsidRPr="00111F31">
        <w:rPr>
          <w:rFonts w:asciiTheme="minorBidi" w:hAnsiTheme="minorBidi"/>
          <w:sz w:val="24"/>
          <w:szCs w:val="24"/>
        </w:rPr>
        <w:t>ROA has increased in 2016 to be 3% from 2% in 2015.</w:t>
      </w:r>
    </w:p>
    <w:p w14:paraId="200B146F" w14:textId="77777777" w:rsidR="00111F31" w:rsidRPr="00111F31" w:rsidRDefault="00111F31" w:rsidP="00111F31">
      <w:pPr>
        <w:rPr>
          <w:rFonts w:asciiTheme="minorBidi" w:hAnsiTheme="minorBidi"/>
          <w:sz w:val="24"/>
          <w:szCs w:val="24"/>
        </w:rPr>
      </w:pPr>
      <w:r w:rsidRPr="00111F31">
        <w:rPr>
          <w:rFonts w:asciiTheme="minorBidi" w:hAnsiTheme="minorBidi"/>
          <w:sz w:val="24"/>
          <w:szCs w:val="24"/>
        </w:rPr>
        <w:t>Then it has been decreasing and increasing during the years until eventually in 2019 it decreased to be 2% from 3% in 2018.</w:t>
      </w:r>
    </w:p>
    <w:p w14:paraId="641BAB1B" w14:textId="77777777" w:rsidR="00111F31" w:rsidRPr="00111F31" w:rsidRDefault="00111F31" w:rsidP="00111F31">
      <w:pPr>
        <w:rPr>
          <w:rFonts w:asciiTheme="minorBidi" w:hAnsiTheme="minorBidi"/>
          <w:sz w:val="24"/>
          <w:szCs w:val="24"/>
        </w:rPr>
      </w:pPr>
      <w:r w:rsidRPr="00111F31">
        <w:rPr>
          <w:rFonts w:asciiTheme="minorBidi" w:hAnsiTheme="minorBidi"/>
          <w:sz w:val="24"/>
          <w:szCs w:val="24"/>
        </w:rPr>
        <w:t>The reason behind this decreasing in the return on assets is the decrease in the net income compared with the total assets over the five years.</w:t>
      </w:r>
    </w:p>
    <w:p w14:paraId="12893494" w14:textId="77777777" w:rsidR="00111F31" w:rsidRPr="00111F31" w:rsidRDefault="00111F31" w:rsidP="00111F31">
      <w:pPr>
        <w:rPr>
          <w:rFonts w:asciiTheme="minorBidi" w:hAnsiTheme="minorBidi"/>
          <w:sz w:val="24"/>
          <w:szCs w:val="24"/>
        </w:rPr>
      </w:pPr>
      <w:r w:rsidRPr="00111F31">
        <w:rPr>
          <w:noProof/>
        </w:rPr>
        <w:lastRenderedPageBreak/>
        <w:drawing>
          <wp:anchor distT="0" distB="0" distL="114300" distR="114300" simplePos="0" relativeHeight="251678720" behindDoc="0" locked="0" layoutInCell="1" allowOverlap="1" wp14:anchorId="617554AF" wp14:editId="2C6F1688">
            <wp:simplePos x="0" y="0"/>
            <wp:positionH relativeFrom="page">
              <wp:posOffset>3609975</wp:posOffset>
            </wp:positionH>
            <wp:positionV relativeFrom="paragraph">
              <wp:posOffset>9525</wp:posOffset>
            </wp:positionV>
            <wp:extent cx="3790950" cy="2238375"/>
            <wp:effectExtent l="0" t="0" r="0" b="9525"/>
            <wp:wrapThrough wrapText="bothSides">
              <wp:wrapPolygon edited="0">
                <wp:start x="0" y="0"/>
                <wp:lineTo x="0" y="21508"/>
                <wp:lineTo x="21491" y="21508"/>
                <wp:lineTo x="21491" y="0"/>
                <wp:lineTo x="0" y="0"/>
              </wp:wrapPolygon>
            </wp:wrapThrough>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During the period 2015/2016 the net operation margin increased because of the decrease of total assets while the pre-tax income increased. From 2016 to 2019 the net operation margin decreased because of the decrease of pre-tax income compared to total assets.</w:t>
      </w:r>
    </w:p>
    <w:p w14:paraId="11891CB1" w14:textId="42E34A6C" w:rsidR="00F2240B" w:rsidRDefault="00111F31" w:rsidP="00111F31">
      <w:pPr>
        <w:rPr>
          <w:rFonts w:asciiTheme="minorBidi" w:hAnsiTheme="minorBidi"/>
          <w:sz w:val="24"/>
          <w:szCs w:val="24"/>
        </w:rPr>
      </w:pPr>
      <w:r w:rsidRPr="00111F31">
        <w:rPr>
          <w:noProof/>
        </w:rPr>
        <w:drawing>
          <wp:anchor distT="0" distB="0" distL="114300" distR="114300" simplePos="0" relativeHeight="251679744" behindDoc="0" locked="0" layoutInCell="1" allowOverlap="1" wp14:anchorId="15632DC3" wp14:editId="464C8D45">
            <wp:simplePos x="0" y="0"/>
            <wp:positionH relativeFrom="page">
              <wp:posOffset>3609975</wp:posOffset>
            </wp:positionH>
            <wp:positionV relativeFrom="paragraph">
              <wp:posOffset>8890</wp:posOffset>
            </wp:positionV>
            <wp:extent cx="3781425" cy="2514600"/>
            <wp:effectExtent l="0" t="0" r="9525" b="0"/>
            <wp:wrapThrough wrapText="bothSides">
              <wp:wrapPolygon edited="0">
                <wp:start x="0" y="0"/>
                <wp:lineTo x="0" y="21436"/>
                <wp:lineTo x="21546" y="21436"/>
                <wp:lineTo x="21546" y="0"/>
                <wp:lineTo x="0" y="0"/>
              </wp:wrapPolygon>
            </wp:wrapThrough>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From 2015/2016 the curve increased because the increase of the interest income. The net interest margin shows a decrease during 2016/2017 period because the increase of total earning assets compared to interest income. Then starting to increase again from 2017 till 2019.</w:t>
      </w:r>
    </w:p>
    <w:p w14:paraId="3A78432E" w14:textId="24AAD7BE" w:rsidR="00111F31" w:rsidRPr="00111F31" w:rsidRDefault="00F2240B" w:rsidP="00111F31">
      <w:pPr>
        <w:rPr>
          <w:rFonts w:asciiTheme="minorBidi" w:hAnsiTheme="minorBidi"/>
          <w:sz w:val="24"/>
          <w:szCs w:val="24"/>
        </w:rPr>
      </w:pPr>
      <w:r w:rsidRPr="00111F31">
        <w:rPr>
          <w:noProof/>
        </w:rPr>
        <w:drawing>
          <wp:anchor distT="0" distB="0" distL="114300" distR="114300" simplePos="0" relativeHeight="251680768" behindDoc="0" locked="0" layoutInCell="1" allowOverlap="1" wp14:anchorId="475952C5" wp14:editId="4FF65CD6">
            <wp:simplePos x="0" y="0"/>
            <wp:positionH relativeFrom="page">
              <wp:posOffset>3619500</wp:posOffset>
            </wp:positionH>
            <wp:positionV relativeFrom="paragraph">
              <wp:posOffset>8890</wp:posOffset>
            </wp:positionV>
            <wp:extent cx="3781425" cy="2247900"/>
            <wp:effectExtent l="0" t="0" r="9525" b="0"/>
            <wp:wrapThrough wrapText="bothSides">
              <wp:wrapPolygon edited="0">
                <wp:start x="0" y="0"/>
                <wp:lineTo x="0" y="21417"/>
                <wp:lineTo x="21546" y="21417"/>
                <wp:lineTo x="21546" y="0"/>
                <wp:lineTo x="0" y="0"/>
              </wp:wrapPolygon>
            </wp:wrapThrough>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111F31" w:rsidRPr="00111F31">
        <w:rPr>
          <w:rFonts w:asciiTheme="minorBidi" w:hAnsiTheme="minorBidi"/>
          <w:sz w:val="24"/>
          <w:szCs w:val="24"/>
        </w:rPr>
        <w:t>The non-interest margin is increased from (2015/2016) and in (2016/2017) decreased and kept decreasing that’s a result of decreasing of total assets compared with value of the net non-interest income.</w:t>
      </w:r>
    </w:p>
    <w:p w14:paraId="7719DB79" w14:textId="77777777" w:rsidR="00F2240B" w:rsidRDefault="00F2240B" w:rsidP="00111F31">
      <w:pPr>
        <w:rPr>
          <w:rFonts w:asciiTheme="minorBidi" w:hAnsiTheme="minorBidi"/>
          <w:sz w:val="24"/>
          <w:szCs w:val="24"/>
        </w:rPr>
      </w:pPr>
    </w:p>
    <w:p w14:paraId="707C0352" w14:textId="5A39D128" w:rsidR="00111F31" w:rsidRPr="00F2240B" w:rsidRDefault="00111F31" w:rsidP="00F2240B">
      <w:pPr>
        <w:pStyle w:val="Heading3"/>
        <w:rPr>
          <w:rFonts w:asciiTheme="minorBidi" w:hAnsiTheme="minorBidi" w:cstheme="minorBidi"/>
          <w:b/>
          <w:bCs/>
          <w:color w:val="2F5496" w:themeColor="accent1" w:themeShade="BF"/>
          <w:sz w:val="28"/>
          <w:szCs w:val="28"/>
        </w:rPr>
      </w:pPr>
      <w:bookmarkStart w:id="13" w:name="_Toc59103034"/>
      <w:r w:rsidRPr="00F2240B">
        <w:rPr>
          <w:rFonts w:asciiTheme="minorBidi" w:hAnsiTheme="minorBidi" w:cstheme="minorBidi"/>
          <w:b/>
          <w:bCs/>
          <w:color w:val="2F5496" w:themeColor="accent1" w:themeShade="BF"/>
          <w:sz w:val="28"/>
          <w:szCs w:val="28"/>
        </w:rPr>
        <w:lastRenderedPageBreak/>
        <w:t>ROE Analysis</w:t>
      </w:r>
      <w:bookmarkEnd w:id="13"/>
    </w:p>
    <w:p w14:paraId="60984711" w14:textId="77777777" w:rsidR="00111F31" w:rsidRPr="00111F31" w:rsidRDefault="00111F31" w:rsidP="00111F31">
      <w:pPr>
        <w:rPr>
          <w:rFonts w:asciiTheme="minorBidi" w:hAnsiTheme="minorBidi"/>
          <w:sz w:val="24"/>
          <w:szCs w:val="24"/>
        </w:rPr>
      </w:pPr>
      <w:r w:rsidRPr="00111F31">
        <w:rPr>
          <w:noProof/>
        </w:rPr>
        <w:drawing>
          <wp:anchor distT="0" distB="0" distL="114300" distR="114300" simplePos="0" relativeHeight="251681792" behindDoc="0" locked="0" layoutInCell="1" allowOverlap="1" wp14:anchorId="6B3D2A4F" wp14:editId="2D8941F6">
            <wp:simplePos x="0" y="0"/>
            <wp:positionH relativeFrom="page">
              <wp:posOffset>3448050</wp:posOffset>
            </wp:positionH>
            <wp:positionV relativeFrom="paragraph">
              <wp:posOffset>10160</wp:posOffset>
            </wp:positionV>
            <wp:extent cx="3952875" cy="2514600"/>
            <wp:effectExtent l="0" t="0" r="9525" b="0"/>
            <wp:wrapThrough wrapText="bothSides">
              <wp:wrapPolygon edited="0">
                <wp:start x="0" y="0"/>
                <wp:lineTo x="0" y="21436"/>
                <wp:lineTo x="21548" y="21436"/>
                <wp:lineTo x="21548"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As shown in the graph the change of the ROE from 2015 to 2016 is minimal Then it started to decrease year after year till reaching low percentage in 2019 which is 10% But at the start of 2019 the graph shows a decline in the ROE due to the increase in total equity.</w:t>
      </w:r>
    </w:p>
    <w:p w14:paraId="4CEB2EC4" w14:textId="77777777" w:rsidR="00111F31" w:rsidRPr="00111F31" w:rsidRDefault="00111F31" w:rsidP="00111F31">
      <w:pPr>
        <w:rPr>
          <w:rFonts w:asciiTheme="minorBidi" w:hAnsiTheme="minorBidi"/>
          <w:sz w:val="24"/>
          <w:szCs w:val="24"/>
        </w:rPr>
      </w:pPr>
    </w:p>
    <w:p w14:paraId="756DFC00" w14:textId="77777777" w:rsidR="00111F31" w:rsidRPr="00111F31" w:rsidRDefault="00111F31" w:rsidP="00111F31">
      <w:pPr>
        <w:rPr>
          <w:rFonts w:asciiTheme="minorBidi" w:hAnsiTheme="minorBidi"/>
          <w:sz w:val="24"/>
          <w:szCs w:val="24"/>
        </w:rPr>
      </w:pPr>
      <w:r w:rsidRPr="00111F31">
        <w:rPr>
          <w:noProof/>
        </w:rPr>
        <w:drawing>
          <wp:anchor distT="0" distB="0" distL="114300" distR="114300" simplePos="0" relativeHeight="251682816" behindDoc="0" locked="0" layoutInCell="1" allowOverlap="1" wp14:anchorId="51DF003C" wp14:editId="263DE3A2">
            <wp:simplePos x="0" y="0"/>
            <wp:positionH relativeFrom="page">
              <wp:posOffset>3467100</wp:posOffset>
            </wp:positionH>
            <wp:positionV relativeFrom="paragraph">
              <wp:posOffset>5080</wp:posOffset>
            </wp:positionV>
            <wp:extent cx="3952875" cy="2533650"/>
            <wp:effectExtent l="0" t="0" r="9525" b="0"/>
            <wp:wrapThrough wrapText="bothSides">
              <wp:wrapPolygon edited="0">
                <wp:start x="0" y="0"/>
                <wp:lineTo x="0" y="21438"/>
                <wp:lineTo x="21548" y="21438"/>
                <wp:lineTo x="21548" y="0"/>
                <wp:lineTo x="0" y="0"/>
              </wp:wrapPolygon>
            </wp:wrapThrough>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The equity multiplier decreased at the period of 2015/2016 from 10 to 6 then it’s started to slightly increase then decreasing started from the 2016 till 2019 (period 2016/2019). The reason behind the decrease of equity multiplier is the increase in total equity year by year while the total assets is also increasing</w:t>
      </w:r>
    </w:p>
    <w:p w14:paraId="1769944C" w14:textId="77777777" w:rsidR="00111F31" w:rsidRPr="00111F31" w:rsidRDefault="00111F31" w:rsidP="00111F31">
      <w:pPr>
        <w:rPr>
          <w:rFonts w:asciiTheme="minorBidi" w:hAnsiTheme="minorBidi"/>
          <w:sz w:val="24"/>
          <w:szCs w:val="24"/>
        </w:rPr>
      </w:pPr>
    </w:p>
    <w:p w14:paraId="486AEAAC" w14:textId="77777777" w:rsidR="00111F31" w:rsidRPr="00111F31" w:rsidRDefault="00111F31" w:rsidP="00111F31">
      <w:pPr>
        <w:rPr>
          <w:rFonts w:asciiTheme="minorBidi" w:hAnsiTheme="minorBidi"/>
          <w:sz w:val="24"/>
          <w:szCs w:val="24"/>
        </w:rPr>
      </w:pPr>
    </w:p>
    <w:p w14:paraId="48B991C4" w14:textId="77777777" w:rsidR="00111F31" w:rsidRPr="00111F31" w:rsidRDefault="00111F31" w:rsidP="00111F31">
      <w:pPr>
        <w:rPr>
          <w:rFonts w:asciiTheme="minorBidi" w:hAnsiTheme="minorBidi"/>
          <w:sz w:val="24"/>
          <w:szCs w:val="24"/>
        </w:rPr>
      </w:pPr>
    </w:p>
    <w:p w14:paraId="33374CEA" w14:textId="77777777" w:rsidR="00111F31" w:rsidRPr="00111F31" w:rsidRDefault="00111F31" w:rsidP="00111F31">
      <w:pPr>
        <w:rPr>
          <w:rFonts w:asciiTheme="minorBidi" w:hAnsiTheme="minorBidi"/>
          <w:sz w:val="24"/>
          <w:szCs w:val="24"/>
        </w:rPr>
      </w:pPr>
      <w:r w:rsidRPr="00111F31">
        <w:rPr>
          <w:noProof/>
        </w:rPr>
        <w:lastRenderedPageBreak/>
        <w:drawing>
          <wp:anchor distT="0" distB="0" distL="114300" distR="114300" simplePos="0" relativeHeight="251683840" behindDoc="0" locked="0" layoutInCell="1" allowOverlap="1" wp14:anchorId="1E6B137B" wp14:editId="6814EA0B">
            <wp:simplePos x="0" y="0"/>
            <wp:positionH relativeFrom="page">
              <wp:posOffset>3686175</wp:posOffset>
            </wp:positionH>
            <wp:positionV relativeFrom="paragraph">
              <wp:posOffset>0</wp:posOffset>
            </wp:positionV>
            <wp:extent cx="3724275" cy="2228850"/>
            <wp:effectExtent l="0" t="0" r="9525" b="0"/>
            <wp:wrapThrough wrapText="bothSides">
              <wp:wrapPolygon edited="0">
                <wp:start x="0" y="0"/>
                <wp:lineTo x="0" y="21415"/>
                <wp:lineTo x="21545" y="21415"/>
                <wp:lineTo x="21545" y="0"/>
                <wp:lineTo x="0" y="0"/>
              </wp:wrapPolygon>
            </wp:wrapThrough>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Profit margin slightly increased at the period 2015/2016 due to the decrease of net operating revenue compared to net income. Then its start to increase in 2016/2017 due to the major increase of net income compared to net operating revenue, then decreasing again till 2019.</w:t>
      </w:r>
    </w:p>
    <w:p w14:paraId="6B8E6D85" w14:textId="77777777" w:rsidR="00111F31" w:rsidRPr="00111F31" w:rsidRDefault="00111F31" w:rsidP="00111F31">
      <w:pPr>
        <w:rPr>
          <w:rFonts w:asciiTheme="minorBidi" w:hAnsiTheme="minorBidi"/>
          <w:sz w:val="24"/>
          <w:szCs w:val="24"/>
        </w:rPr>
      </w:pPr>
      <w:r w:rsidRPr="00111F31">
        <w:rPr>
          <w:noProof/>
        </w:rPr>
        <w:drawing>
          <wp:anchor distT="0" distB="0" distL="114300" distR="114300" simplePos="0" relativeHeight="251684864" behindDoc="0" locked="0" layoutInCell="1" allowOverlap="1" wp14:anchorId="3105B5E1" wp14:editId="5FCB27C8">
            <wp:simplePos x="0" y="0"/>
            <wp:positionH relativeFrom="page">
              <wp:posOffset>3685540</wp:posOffset>
            </wp:positionH>
            <wp:positionV relativeFrom="paragraph">
              <wp:posOffset>656590</wp:posOffset>
            </wp:positionV>
            <wp:extent cx="3705225" cy="3162300"/>
            <wp:effectExtent l="0" t="0" r="9525" b="0"/>
            <wp:wrapThrough wrapText="bothSides">
              <wp:wrapPolygon edited="0">
                <wp:start x="0" y="0"/>
                <wp:lineTo x="0" y="21470"/>
                <wp:lineTo x="21544" y="21470"/>
                <wp:lineTo x="21544" y="0"/>
                <wp:lineTo x="0" y="0"/>
              </wp:wrapPolygon>
            </wp:wrapThrough>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 xml:space="preserve">The tax management efficiency ratio has an obvious increasing at the period 2015/2017 reaching the trough. That’s because of the net income increased and expense management also increased due to increase of pre-tax operating income, interest expense and non-interest expense decreases. In the period 2018/2019 the ratio started to decrease. At the end of 2019 the ratio decreased to close percentage of the start of 2015. </w:t>
      </w:r>
    </w:p>
    <w:p w14:paraId="520C7037" w14:textId="77777777" w:rsidR="00111F31" w:rsidRPr="00111F31" w:rsidRDefault="00111F31" w:rsidP="00111F31">
      <w:pPr>
        <w:rPr>
          <w:rFonts w:asciiTheme="minorBidi" w:hAnsiTheme="minorBidi"/>
          <w:sz w:val="24"/>
          <w:szCs w:val="24"/>
        </w:rPr>
      </w:pPr>
    </w:p>
    <w:p w14:paraId="4239D335" w14:textId="77777777" w:rsidR="00111F31" w:rsidRPr="00111F31" w:rsidRDefault="00111F31" w:rsidP="00111F31">
      <w:pPr>
        <w:rPr>
          <w:rFonts w:asciiTheme="minorBidi" w:hAnsiTheme="minorBidi"/>
          <w:sz w:val="24"/>
          <w:szCs w:val="24"/>
        </w:rPr>
      </w:pPr>
    </w:p>
    <w:p w14:paraId="3F68814E" w14:textId="77777777" w:rsidR="00111F31" w:rsidRPr="00111F31" w:rsidRDefault="00111F31" w:rsidP="00111F31">
      <w:pPr>
        <w:rPr>
          <w:rFonts w:asciiTheme="minorBidi" w:hAnsiTheme="minorBidi"/>
          <w:sz w:val="24"/>
          <w:szCs w:val="24"/>
        </w:rPr>
      </w:pPr>
    </w:p>
    <w:p w14:paraId="27355A24" w14:textId="77777777" w:rsidR="00111F31" w:rsidRPr="00111F31" w:rsidRDefault="00111F31" w:rsidP="00111F31">
      <w:pPr>
        <w:rPr>
          <w:rFonts w:asciiTheme="minorBidi" w:hAnsiTheme="minorBidi"/>
          <w:sz w:val="24"/>
          <w:szCs w:val="24"/>
        </w:rPr>
      </w:pPr>
    </w:p>
    <w:p w14:paraId="3B0BE433" w14:textId="77777777" w:rsidR="00111F31" w:rsidRPr="00111F31" w:rsidRDefault="00111F31" w:rsidP="00111F31">
      <w:pPr>
        <w:rPr>
          <w:rFonts w:asciiTheme="minorBidi" w:hAnsiTheme="minorBidi"/>
          <w:sz w:val="24"/>
          <w:szCs w:val="24"/>
        </w:rPr>
      </w:pPr>
      <w:r w:rsidRPr="00111F31">
        <w:rPr>
          <w:noProof/>
        </w:rPr>
        <w:lastRenderedPageBreak/>
        <w:drawing>
          <wp:anchor distT="0" distB="0" distL="114300" distR="114300" simplePos="0" relativeHeight="251685888" behindDoc="0" locked="0" layoutInCell="1" allowOverlap="1" wp14:anchorId="1F713A53" wp14:editId="16D1F97D">
            <wp:simplePos x="0" y="0"/>
            <wp:positionH relativeFrom="page">
              <wp:posOffset>3571875</wp:posOffset>
            </wp:positionH>
            <wp:positionV relativeFrom="paragraph">
              <wp:posOffset>0</wp:posOffset>
            </wp:positionV>
            <wp:extent cx="3819525" cy="1943100"/>
            <wp:effectExtent l="0" t="0" r="9525" b="0"/>
            <wp:wrapThrough wrapText="bothSides">
              <wp:wrapPolygon edited="0">
                <wp:start x="0" y="0"/>
                <wp:lineTo x="0" y="21388"/>
                <wp:lineTo x="21546" y="21388"/>
                <wp:lineTo x="21546" y="0"/>
                <wp:lineTo x="0" y="0"/>
              </wp:wrapPolygon>
            </wp:wrapThrough>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The asset utilization ratio is increasing in 2015 till 2016 then dramatically decreases in 2016/2017 and gradually increasing till 2019.</w:t>
      </w:r>
    </w:p>
    <w:p w14:paraId="523E4361" w14:textId="77777777" w:rsidR="00111F31" w:rsidRPr="00111F31" w:rsidRDefault="00111F31" w:rsidP="00111F31">
      <w:pPr>
        <w:rPr>
          <w:rFonts w:asciiTheme="minorBidi" w:hAnsiTheme="minorBidi"/>
          <w:sz w:val="24"/>
          <w:szCs w:val="24"/>
        </w:rPr>
      </w:pPr>
    </w:p>
    <w:p w14:paraId="39ABCBB0" w14:textId="77777777" w:rsidR="00111F31" w:rsidRPr="00111F31" w:rsidRDefault="00111F31" w:rsidP="00111F31">
      <w:pPr>
        <w:rPr>
          <w:rFonts w:asciiTheme="minorBidi" w:hAnsiTheme="minorBidi"/>
          <w:sz w:val="24"/>
          <w:szCs w:val="24"/>
        </w:rPr>
      </w:pPr>
    </w:p>
    <w:p w14:paraId="0EB1E48D" w14:textId="77777777" w:rsidR="00111F31" w:rsidRPr="00111F31" w:rsidRDefault="00111F31" w:rsidP="00111F31">
      <w:pPr>
        <w:rPr>
          <w:rFonts w:asciiTheme="minorBidi" w:hAnsiTheme="minorBidi"/>
          <w:sz w:val="24"/>
          <w:szCs w:val="24"/>
        </w:rPr>
      </w:pPr>
      <w:r w:rsidRPr="00111F31">
        <w:rPr>
          <w:noProof/>
        </w:rPr>
        <w:drawing>
          <wp:anchor distT="0" distB="0" distL="114300" distR="114300" simplePos="0" relativeHeight="251686912" behindDoc="0" locked="0" layoutInCell="1" allowOverlap="1" wp14:anchorId="3F9B0BD8" wp14:editId="1F0BFB2F">
            <wp:simplePos x="0" y="0"/>
            <wp:positionH relativeFrom="page">
              <wp:posOffset>3571875</wp:posOffset>
            </wp:positionH>
            <wp:positionV relativeFrom="paragraph">
              <wp:posOffset>11430</wp:posOffset>
            </wp:positionV>
            <wp:extent cx="3829050" cy="1847850"/>
            <wp:effectExtent l="0" t="0" r="0" b="0"/>
            <wp:wrapThrough wrapText="bothSides">
              <wp:wrapPolygon edited="0">
                <wp:start x="0" y="0"/>
                <wp:lineTo x="0" y="21377"/>
                <wp:lineTo x="21493" y="21377"/>
                <wp:lineTo x="21493" y="0"/>
                <wp:lineTo x="0" y="0"/>
              </wp:wrapPolygon>
            </wp:wrapThrough>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AAIB had a stable expense managing at the period of 2015/2016 other than the periods 2016/2017 when it starts to increase and then 2017/2018 slowly decreasing till 2019.</w:t>
      </w:r>
    </w:p>
    <w:p w14:paraId="59999EE2" w14:textId="77777777" w:rsidR="00111F31" w:rsidRPr="00111F31" w:rsidRDefault="00111F31" w:rsidP="00111F31">
      <w:pPr>
        <w:rPr>
          <w:rFonts w:asciiTheme="minorBidi" w:hAnsiTheme="minorBidi"/>
          <w:sz w:val="24"/>
          <w:szCs w:val="24"/>
        </w:rPr>
      </w:pPr>
      <w:r w:rsidRPr="00111F31">
        <w:rPr>
          <w:noProof/>
        </w:rPr>
        <w:drawing>
          <wp:anchor distT="0" distB="0" distL="114300" distR="114300" simplePos="0" relativeHeight="251687936" behindDoc="0" locked="0" layoutInCell="1" allowOverlap="1" wp14:anchorId="4F994D63" wp14:editId="14AA5536">
            <wp:simplePos x="0" y="0"/>
            <wp:positionH relativeFrom="page">
              <wp:posOffset>3543300</wp:posOffset>
            </wp:positionH>
            <wp:positionV relativeFrom="paragraph">
              <wp:posOffset>7620</wp:posOffset>
            </wp:positionV>
            <wp:extent cx="3848100" cy="2162175"/>
            <wp:effectExtent l="0" t="0" r="0" b="9525"/>
            <wp:wrapThrough wrapText="bothSides">
              <wp:wrapPolygon edited="0">
                <wp:start x="0" y="0"/>
                <wp:lineTo x="0" y="21505"/>
                <wp:lineTo x="21493" y="21505"/>
                <wp:lineTo x="21493" y="0"/>
                <wp:lineTo x="0" y="0"/>
              </wp:wrapPolygon>
            </wp:wrapThrough>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111F31">
        <w:rPr>
          <w:rFonts w:asciiTheme="minorBidi" w:hAnsiTheme="minorBidi"/>
          <w:sz w:val="24"/>
          <w:szCs w:val="24"/>
        </w:rPr>
        <w:t>The earning per share margin shows a positive curve at the begging till 2016 then dramatically decreases from 2016 to 2017 then slowly decreasing till it reaches 2019 at the lowest point.</w:t>
      </w:r>
    </w:p>
    <w:p w14:paraId="2B6A8D4C" w14:textId="4C60AA84" w:rsidR="00443E22" w:rsidRDefault="00443E22" w:rsidP="002206CC">
      <w:pPr>
        <w:rPr>
          <w:rFonts w:asciiTheme="minorBidi" w:hAnsiTheme="minorBidi"/>
          <w:sz w:val="24"/>
          <w:szCs w:val="24"/>
          <w:lang w:bidi="ar-EG"/>
        </w:rPr>
      </w:pPr>
    </w:p>
    <w:p w14:paraId="337A6E0F" w14:textId="77777777" w:rsidR="00443E22" w:rsidRDefault="00443E22">
      <w:pPr>
        <w:rPr>
          <w:rFonts w:asciiTheme="minorBidi" w:hAnsiTheme="minorBidi"/>
          <w:sz w:val="24"/>
          <w:szCs w:val="24"/>
          <w:lang w:bidi="ar-EG"/>
        </w:rPr>
      </w:pPr>
      <w:r>
        <w:rPr>
          <w:rFonts w:asciiTheme="minorBidi" w:hAnsiTheme="minorBidi"/>
          <w:sz w:val="24"/>
          <w:szCs w:val="24"/>
          <w:lang w:bidi="ar-EG"/>
        </w:rPr>
        <w:br w:type="page"/>
      </w:r>
    </w:p>
    <w:p w14:paraId="514B0FDC" w14:textId="77777777" w:rsidR="00443E22" w:rsidRPr="00443E22" w:rsidRDefault="00443E22" w:rsidP="00443E22">
      <w:pPr>
        <w:pStyle w:val="Heading1"/>
        <w:jc w:val="center"/>
        <w:rPr>
          <w:rFonts w:asciiTheme="minorBidi" w:hAnsiTheme="minorBidi" w:cstheme="minorBidi"/>
          <w:b/>
          <w:bCs/>
          <w:color w:val="FF0000"/>
          <w:sz w:val="36"/>
          <w:szCs w:val="36"/>
        </w:rPr>
      </w:pPr>
      <w:bookmarkStart w:id="14" w:name="_Toc59103035"/>
      <w:r w:rsidRPr="00443E22">
        <w:rPr>
          <w:rFonts w:asciiTheme="minorBidi" w:hAnsiTheme="minorBidi" w:cstheme="minorBidi"/>
          <w:b/>
          <w:bCs/>
          <w:color w:val="FF0000"/>
          <w:sz w:val="36"/>
          <w:szCs w:val="36"/>
        </w:rPr>
        <w:lastRenderedPageBreak/>
        <w:t>Cross Sectional Analysis</w:t>
      </w:r>
      <w:bookmarkEnd w:id="14"/>
    </w:p>
    <w:p w14:paraId="36864222" w14:textId="77777777" w:rsidR="00443E22" w:rsidRPr="00443E22" w:rsidRDefault="00443E22" w:rsidP="00443E22">
      <w:pPr>
        <w:spacing w:after="3"/>
        <w:jc w:val="both"/>
        <w:rPr>
          <w:rFonts w:ascii="Arial" w:eastAsia="Arial" w:hAnsi="Arial" w:cs="Arial"/>
          <w:color w:val="000000"/>
          <w:sz w:val="24"/>
          <w:szCs w:val="24"/>
        </w:rPr>
      </w:pPr>
      <w:r w:rsidRPr="00443E22">
        <w:rPr>
          <w:noProof/>
        </w:rPr>
        <w:drawing>
          <wp:anchor distT="0" distB="0" distL="114300" distR="114300" simplePos="0" relativeHeight="251689984" behindDoc="0" locked="0" layoutInCell="1" allowOverlap="1" wp14:anchorId="750416BA" wp14:editId="72EDCFB8">
            <wp:simplePos x="0" y="0"/>
            <wp:positionH relativeFrom="page">
              <wp:posOffset>4057650</wp:posOffset>
            </wp:positionH>
            <wp:positionV relativeFrom="paragraph">
              <wp:posOffset>426720</wp:posOffset>
            </wp:positionV>
            <wp:extent cx="3352800" cy="2190750"/>
            <wp:effectExtent l="0" t="0" r="0" b="0"/>
            <wp:wrapThrough wrapText="bothSides">
              <wp:wrapPolygon edited="0">
                <wp:start x="0" y="0"/>
                <wp:lineTo x="0" y="21412"/>
                <wp:lineTo x="21477" y="21412"/>
                <wp:lineTo x="21477" y="0"/>
                <wp:lineTo x="0" y="0"/>
              </wp:wrapPolygon>
            </wp:wrapThrough>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Pr="00443E22">
        <w:rPr>
          <w:rFonts w:ascii="Arial" w:eastAsia="Arial" w:hAnsi="Arial" w:cs="Arial"/>
          <w:color w:val="000000"/>
          <w:sz w:val="24"/>
          <w:szCs w:val="24"/>
        </w:rPr>
        <w:t>AAIB has increased from 2015 to 2016 in the net interest margin but in 2016 to 2017 it started to decrease then started to slightly increase by trying to manage the interest expense but then failed because in 2018/2019 it has decreased by not managing the large spread between interest expenses and revenues. In contrast, QNB eventually managed to increase its interest income and managing the interest expenses after decreasing in 2015/2016.</w:t>
      </w:r>
    </w:p>
    <w:p w14:paraId="57A3EC0A" w14:textId="7613AD82" w:rsidR="00443E22" w:rsidRPr="00443E22" w:rsidRDefault="00443E22" w:rsidP="00443E22">
      <w:pPr>
        <w:spacing w:after="3"/>
        <w:jc w:val="both"/>
        <w:rPr>
          <w:rFonts w:ascii="Arial" w:eastAsia="Arial" w:hAnsi="Arial" w:cs="Arial"/>
          <w:sz w:val="24"/>
          <w:szCs w:val="24"/>
        </w:rPr>
      </w:pPr>
    </w:p>
    <w:p w14:paraId="46A325BB" w14:textId="2C6E802B" w:rsidR="00443E22" w:rsidRPr="00443E22" w:rsidRDefault="00443E22" w:rsidP="00443E22">
      <w:pPr>
        <w:spacing w:after="3"/>
        <w:jc w:val="both"/>
        <w:rPr>
          <w:rFonts w:ascii="Arial" w:eastAsia="Arial" w:hAnsi="Arial" w:cs="Arial"/>
          <w:color w:val="000000"/>
          <w:sz w:val="24"/>
          <w:szCs w:val="24"/>
          <w:lang w:bidi="ar-EG"/>
        </w:rPr>
      </w:pPr>
      <w:r w:rsidRPr="00443E22">
        <w:rPr>
          <w:noProof/>
        </w:rPr>
        <w:drawing>
          <wp:anchor distT="0" distB="0" distL="114300" distR="114300" simplePos="0" relativeHeight="251691008" behindDoc="0" locked="0" layoutInCell="1" allowOverlap="1" wp14:anchorId="55748A93" wp14:editId="3F3DF991">
            <wp:simplePos x="0" y="0"/>
            <wp:positionH relativeFrom="page">
              <wp:posOffset>4057650</wp:posOffset>
            </wp:positionH>
            <wp:positionV relativeFrom="paragraph">
              <wp:posOffset>13970</wp:posOffset>
            </wp:positionV>
            <wp:extent cx="3343275" cy="2000250"/>
            <wp:effectExtent l="0" t="0" r="9525" b="0"/>
            <wp:wrapThrough wrapText="bothSides">
              <wp:wrapPolygon edited="0">
                <wp:start x="0" y="0"/>
                <wp:lineTo x="0" y="21394"/>
                <wp:lineTo x="21538" y="21394"/>
                <wp:lineTo x="21538" y="0"/>
                <wp:lineTo x="0" y="0"/>
              </wp:wrapPolygon>
            </wp:wrapThrough>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Pr="00443E22">
        <w:rPr>
          <w:noProof/>
        </w:rPr>
        <w:drawing>
          <wp:anchor distT="0" distB="0" distL="114300" distR="114300" simplePos="0" relativeHeight="251692032" behindDoc="0" locked="0" layoutInCell="1" allowOverlap="1" wp14:anchorId="3D284C15" wp14:editId="137E04A9">
            <wp:simplePos x="0" y="0"/>
            <wp:positionH relativeFrom="page">
              <wp:posOffset>4057650</wp:posOffset>
            </wp:positionH>
            <wp:positionV relativeFrom="paragraph">
              <wp:posOffset>2172970</wp:posOffset>
            </wp:positionV>
            <wp:extent cx="3343275" cy="2009775"/>
            <wp:effectExtent l="0" t="0" r="9525" b="9525"/>
            <wp:wrapThrough wrapText="bothSides">
              <wp:wrapPolygon edited="0">
                <wp:start x="0" y="0"/>
                <wp:lineTo x="0" y="21498"/>
                <wp:lineTo x="21538" y="21498"/>
                <wp:lineTo x="21538" y="0"/>
                <wp:lineTo x="0" y="0"/>
              </wp:wrapPolygon>
            </wp:wrapThrough>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Pr="00443E22">
        <w:rPr>
          <w:rFonts w:ascii="Arial" w:eastAsia="Arial" w:hAnsi="Arial" w:cs="Arial"/>
          <w:color w:val="000000"/>
          <w:sz w:val="24"/>
          <w:szCs w:val="24"/>
          <w:lang w:bidi="ar-EG"/>
        </w:rPr>
        <w:t>Here in the net non-interest margin, AAIB in 2015 till 2017 was advancing in collecting non-interest revenues than QNB but eventually started to decrease from 2016 till 2018 because they could not focus on the activities that can bring more revenue without any risk. On the other side QNB was higher than AAIB and started to decrease then by time slightly increasing till it was higher than AAIB.</w:t>
      </w:r>
    </w:p>
    <w:p w14:paraId="7BEB5890" w14:textId="77777777" w:rsidR="00443E22" w:rsidRPr="00443E22" w:rsidRDefault="00443E22" w:rsidP="00443E22">
      <w:pPr>
        <w:spacing w:after="3"/>
        <w:jc w:val="both"/>
        <w:rPr>
          <w:rFonts w:ascii="Arial" w:eastAsia="Arial" w:hAnsi="Arial" w:cs="Arial"/>
          <w:color w:val="000000"/>
          <w:sz w:val="24"/>
          <w:szCs w:val="24"/>
          <w:lang w:bidi="ar-EG"/>
        </w:rPr>
      </w:pPr>
      <w:r w:rsidRPr="00443E22">
        <w:rPr>
          <w:rFonts w:ascii="Arial" w:eastAsia="Arial" w:hAnsi="Arial" w:cs="Arial"/>
          <w:color w:val="000000"/>
          <w:sz w:val="24"/>
          <w:szCs w:val="24"/>
        </w:rPr>
        <w:t xml:space="preserve"> </w:t>
      </w:r>
    </w:p>
    <w:p w14:paraId="0EB18028" w14:textId="77777777" w:rsidR="00443E22" w:rsidRPr="00443E22" w:rsidRDefault="00443E22" w:rsidP="00443E22">
      <w:pPr>
        <w:spacing w:after="3"/>
        <w:jc w:val="both"/>
        <w:rPr>
          <w:rFonts w:ascii="Arial" w:eastAsia="Arial" w:hAnsi="Arial" w:cs="Arial"/>
          <w:sz w:val="24"/>
          <w:szCs w:val="24"/>
        </w:rPr>
      </w:pPr>
      <w:r w:rsidRPr="00443E22">
        <w:rPr>
          <w:noProof/>
        </w:rPr>
        <w:lastRenderedPageBreak/>
        <w:drawing>
          <wp:anchor distT="0" distB="0" distL="114300" distR="114300" simplePos="0" relativeHeight="251693056" behindDoc="0" locked="0" layoutInCell="1" allowOverlap="1" wp14:anchorId="4900D6D5" wp14:editId="4BC17BF1">
            <wp:simplePos x="0" y="0"/>
            <wp:positionH relativeFrom="page">
              <wp:posOffset>3924300</wp:posOffset>
            </wp:positionH>
            <wp:positionV relativeFrom="paragraph">
              <wp:posOffset>419100</wp:posOffset>
            </wp:positionV>
            <wp:extent cx="3476625" cy="2543175"/>
            <wp:effectExtent l="0" t="0" r="9525" b="9525"/>
            <wp:wrapThrough wrapText="bothSides">
              <wp:wrapPolygon edited="0">
                <wp:start x="0" y="0"/>
                <wp:lineTo x="0" y="21519"/>
                <wp:lineTo x="21541" y="21519"/>
                <wp:lineTo x="21541" y="0"/>
                <wp:lineTo x="0" y="0"/>
              </wp:wrapPolygon>
            </wp:wrapThrough>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Pr="00443E22">
        <w:rPr>
          <w:rFonts w:ascii="Arial" w:eastAsia="Arial" w:hAnsi="Arial" w:cs="Arial"/>
          <w:sz w:val="24"/>
          <w:szCs w:val="24"/>
        </w:rPr>
        <w:t>AAIB and QNB both were trying to increase the interest expense which both succeeded but AAIB in the period of 2018/2019 ignored non-interest activities which affected the net interest income and ROA and by that AAIB faced a problem of managing the non-interest expenses. On the other hand, QNB stayed increasing the non-interest expenses and from 2018 till 2019 the interest stayed basically the same.</w:t>
      </w:r>
    </w:p>
    <w:p w14:paraId="4A8E2B1D" w14:textId="77777777" w:rsidR="00443E22" w:rsidRPr="00443E22" w:rsidRDefault="00443E22" w:rsidP="00443E22">
      <w:pPr>
        <w:spacing w:after="3"/>
        <w:jc w:val="both"/>
        <w:rPr>
          <w:rFonts w:ascii="Arial" w:eastAsia="Arial" w:hAnsi="Arial" w:cs="Arial"/>
          <w:sz w:val="24"/>
          <w:szCs w:val="24"/>
        </w:rPr>
      </w:pPr>
    </w:p>
    <w:p w14:paraId="4B18D44C" w14:textId="77777777" w:rsidR="00443E22" w:rsidRPr="00443E22" w:rsidRDefault="00443E22" w:rsidP="00443E22">
      <w:pPr>
        <w:spacing w:after="3"/>
        <w:jc w:val="both"/>
        <w:rPr>
          <w:rFonts w:ascii="Arial" w:eastAsia="Arial" w:hAnsi="Arial" w:cs="Arial"/>
          <w:sz w:val="24"/>
          <w:szCs w:val="24"/>
        </w:rPr>
      </w:pPr>
      <w:r w:rsidRPr="00443E22">
        <w:rPr>
          <w:noProof/>
        </w:rPr>
        <w:drawing>
          <wp:anchor distT="0" distB="0" distL="114300" distR="114300" simplePos="0" relativeHeight="251697152" behindDoc="0" locked="0" layoutInCell="1" allowOverlap="1" wp14:anchorId="3BFA2D76" wp14:editId="07AED92B">
            <wp:simplePos x="0" y="0"/>
            <wp:positionH relativeFrom="margin">
              <wp:align>center</wp:align>
            </wp:positionH>
            <wp:positionV relativeFrom="paragraph">
              <wp:posOffset>146685</wp:posOffset>
            </wp:positionV>
            <wp:extent cx="4572000" cy="2409825"/>
            <wp:effectExtent l="0" t="0" r="0" b="9525"/>
            <wp:wrapThrough wrapText="bothSides">
              <wp:wrapPolygon edited="0">
                <wp:start x="0" y="0"/>
                <wp:lineTo x="0" y="21515"/>
                <wp:lineTo x="21510" y="21515"/>
                <wp:lineTo x="21510" y="0"/>
                <wp:lineTo x="0" y="0"/>
              </wp:wrapPolygon>
            </wp:wrapThrough>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p>
    <w:p w14:paraId="12953C82" w14:textId="77777777" w:rsidR="00443E22" w:rsidRPr="00443E22" w:rsidRDefault="00443E22" w:rsidP="00443E22">
      <w:pPr>
        <w:spacing w:after="3"/>
        <w:jc w:val="both"/>
        <w:rPr>
          <w:rFonts w:ascii="Arial" w:eastAsia="Arial" w:hAnsi="Arial" w:cs="Arial"/>
          <w:sz w:val="24"/>
          <w:szCs w:val="24"/>
        </w:rPr>
      </w:pPr>
    </w:p>
    <w:p w14:paraId="023EF2FD" w14:textId="77777777" w:rsidR="00443E22" w:rsidRPr="00443E22" w:rsidRDefault="00443E22" w:rsidP="00443E22">
      <w:pPr>
        <w:spacing w:after="3"/>
        <w:jc w:val="both"/>
        <w:rPr>
          <w:rFonts w:ascii="Arial" w:eastAsia="Arial" w:hAnsi="Arial" w:cs="Arial"/>
          <w:sz w:val="24"/>
          <w:szCs w:val="24"/>
        </w:rPr>
      </w:pPr>
    </w:p>
    <w:p w14:paraId="43FC8A62" w14:textId="77777777" w:rsidR="00443E22" w:rsidRPr="00443E22" w:rsidRDefault="00443E22" w:rsidP="00443E22">
      <w:pPr>
        <w:spacing w:after="3"/>
        <w:jc w:val="both"/>
        <w:rPr>
          <w:rFonts w:ascii="Arial" w:eastAsia="Arial" w:hAnsi="Arial" w:cs="Arial"/>
          <w:sz w:val="24"/>
          <w:szCs w:val="24"/>
        </w:rPr>
      </w:pPr>
    </w:p>
    <w:p w14:paraId="4A55AD77" w14:textId="77777777" w:rsidR="00443E22" w:rsidRPr="00443E22" w:rsidRDefault="00443E22" w:rsidP="00443E22">
      <w:pPr>
        <w:spacing w:after="3"/>
        <w:jc w:val="both"/>
        <w:rPr>
          <w:rFonts w:ascii="Arial" w:eastAsia="Arial" w:hAnsi="Arial" w:cs="Arial"/>
          <w:sz w:val="24"/>
          <w:szCs w:val="24"/>
        </w:rPr>
      </w:pPr>
    </w:p>
    <w:p w14:paraId="53EC933C" w14:textId="77777777" w:rsidR="00443E22" w:rsidRPr="00443E22" w:rsidRDefault="00443E22" w:rsidP="00443E22">
      <w:pPr>
        <w:spacing w:after="3"/>
        <w:jc w:val="both"/>
        <w:rPr>
          <w:rFonts w:ascii="Arial" w:eastAsia="Arial" w:hAnsi="Arial" w:cs="Arial"/>
          <w:sz w:val="24"/>
          <w:szCs w:val="24"/>
        </w:rPr>
      </w:pPr>
    </w:p>
    <w:p w14:paraId="35D938F1" w14:textId="77777777" w:rsidR="00443E22" w:rsidRPr="00443E22" w:rsidRDefault="00443E22" w:rsidP="00443E22">
      <w:pPr>
        <w:spacing w:after="3"/>
        <w:jc w:val="both"/>
        <w:rPr>
          <w:rFonts w:ascii="Arial" w:eastAsia="Arial" w:hAnsi="Arial" w:cs="Arial"/>
          <w:sz w:val="24"/>
          <w:szCs w:val="24"/>
        </w:rPr>
      </w:pPr>
      <w:r w:rsidRPr="00443E22">
        <w:rPr>
          <w:noProof/>
        </w:rPr>
        <w:lastRenderedPageBreak/>
        <w:drawing>
          <wp:anchor distT="0" distB="0" distL="114300" distR="114300" simplePos="0" relativeHeight="251698176" behindDoc="0" locked="0" layoutInCell="1" allowOverlap="1" wp14:anchorId="59CDFD2B" wp14:editId="4E763D73">
            <wp:simplePos x="0" y="0"/>
            <wp:positionH relativeFrom="margin">
              <wp:posOffset>685800</wp:posOffset>
            </wp:positionH>
            <wp:positionV relativeFrom="paragraph">
              <wp:posOffset>471170</wp:posOffset>
            </wp:positionV>
            <wp:extent cx="4572000" cy="2476500"/>
            <wp:effectExtent l="0" t="0" r="0" b="0"/>
            <wp:wrapThrough wrapText="bothSides">
              <wp:wrapPolygon edited="0">
                <wp:start x="0" y="0"/>
                <wp:lineTo x="0" y="21434"/>
                <wp:lineTo x="21510" y="21434"/>
                <wp:lineTo x="21510" y="0"/>
                <wp:lineTo x="0" y="0"/>
              </wp:wrapPolygon>
            </wp:wrapThrough>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p>
    <w:p w14:paraId="696A4EB7" w14:textId="77777777" w:rsidR="00443E22" w:rsidRPr="00443E22" w:rsidRDefault="00443E22" w:rsidP="00443E22">
      <w:pPr>
        <w:spacing w:after="3"/>
        <w:jc w:val="both"/>
        <w:rPr>
          <w:rFonts w:ascii="Arial" w:eastAsia="Arial" w:hAnsi="Arial" w:cs="Arial"/>
          <w:sz w:val="24"/>
          <w:szCs w:val="24"/>
        </w:rPr>
      </w:pPr>
      <w:r w:rsidRPr="00443E22">
        <w:rPr>
          <w:noProof/>
        </w:rPr>
        <w:drawing>
          <wp:anchor distT="0" distB="0" distL="114300" distR="114300" simplePos="0" relativeHeight="251694080" behindDoc="0" locked="0" layoutInCell="1" allowOverlap="1" wp14:anchorId="29205506" wp14:editId="586A7E67">
            <wp:simplePos x="0" y="0"/>
            <wp:positionH relativeFrom="margin">
              <wp:align>center</wp:align>
            </wp:positionH>
            <wp:positionV relativeFrom="paragraph">
              <wp:posOffset>0</wp:posOffset>
            </wp:positionV>
            <wp:extent cx="4572000" cy="2743200"/>
            <wp:effectExtent l="0" t="0" r="0" b="0"/>
            <wp:wrapThrough wrapText="bothSides">
              <wp:wrapPolygon edited="0">
                <wp:start x="0" y="0"/>
                <wp:lineTo x="0" y="21450"/>
                <wp:lineTo x="21510" y="21450"/>
                <wp:lineTo x="21510" y="0"/>
                <wp:lineTo x="0" y="0"/>
              </wp:wrapPolygon>
            </wp:wrapThrough>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E5AA22A" w14:textId="77777777" w:rsidR="00443E22" w:rsidRPr="00443E22" w:rsidRDefault="00443E22" w:rsidP="00443E22">
      <w:pPr>
        <w:spacing w:after="3"/>
        <w:jc w:val="both"/>
        <w:rPr>
          <w:rFonts w:ascii="Arial" w:eastAsia="Arial" w:hAnsi="Arial" w:cs="Arial"/>
          <w:sz w:val="24"/>
          <w:szCs w:val="24"/>
        </w:rPr>
      </w:pPr>
    </w:p>
    <w:p w14:paraId="660BFD5F" w14:textId="77777777" w:rsidR="00443E22" w:rsidRPr="00443E22" w:rsidRDefault="00443E22" w:rsidP="00443E22">
      <w:pPr>
        <w:spacing w:line="259" w:lineRule="auto"/>
        <w:rPr>
          <w:rFonts w:ascii="Arial" w:eastAsia="Arial" w:hAnsi="Arial" w:cs="Arial"/>
          <w:sz w:val="24"/>
          <w:szCs w:val="24"/>
        </w:rPr>
      </w:pPr>
      <w:r w:rsidRPr="00443E22">
        <w:rPr>
          <w:noProof/>
        </w:rPr>
        <w:drawing>
          <wp:anchor distT="0" distB="0" distL="114300" distR="114300" simplePos="0" relativeHeight="251696128" behindDoc="0" locked="0" layoutInCell="1" allowOverlap="1" wp14:anchorId="08800A3E" wp14:editId="33159150">
            <wp:simplePos x="0" y="0"/>
            <wp:positionH relativeFrom="margin">
              <wp:align>center</wp:align>
            </wp:positionH>
            <wp:positionV relativeFrom="paragraph">
              <wp:posOffset>4892675</wp:posOffset>
            </wp:positionV>
            <wp:extent cx="4572000" cy="2619375"/>
            <wp:effectExtent l="0" t="0" r="0" b="9525"/>
            <wp:wrapThrough wrapText="bothSides">
              <wp:wrapPolygon edited="0">
                <wp:start x="0" y="0"/>
                <wp:lineTo x="0" y="21521"/>
                <wp:lineTo x="21510" y="21521"/>
                <wp:lineTo x="21510" y="0"/>
                <wp:lineTo x="0" y="0"/>
              </wp:wrapPolygon>
            </wp:wrapThrough>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sidRPr="00443E22">
        <w:rPr>
          <w:noProof/>
        </w:rPr>
        <w:drawing>
          <wp:anchor distT="0" distB="0" distL="114300" distR="114300" simplePos="0" relativeHeight="251695104" behindDoc="0" locked="0" layoutInCell="1" allowOverlap="1" wp14:anchorId="5D748B05" wp14:editId="5B061A4D">
            <wp:simplePos x="0" y="0"/>
            <wp:positionH relativeFrom="margin">
              <wp:align>center</wp:align>
            </wp:positionH>
            <wp:positionV relativeFrom="paragraph">
              <wp:posOffset>2111375</wp:posOffset>
            </wp:positionV>
            <wp:extent cx="4572000" cy="2657475"/>
            <wp:effectExtent l="0" t="0" r="0" b="9525"/>
            <wp:wrapThrough wrapText="bothSides">
              <wp:wrapPolygon edited="0">
                <wp:start x="0" y="0"/>
                <wp:lineTo x="0" y="21523"/>
                <wp:lineTo x="21510" y="21523"/>
                <wp:lineTo x="21510" y="0"/>
                <wp:lineTo x="0" y="0"/>
              </wp:wrapPolygon>
            </wp:wrapThrough>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V relativeFrom="margin">
              <wp14:pctHeight>0</wp14:pctHeight>
            </wp14:sizeRelV>
          </wp:anchor>
        </w:drawing>
      </w:r>
    </w:p>
    <w:p w14:paraId="59B69435" w14:textId="7ADB48DC" w:rsidR="00443E22" w:rsidRDefault="00443E22" w:rsidP="002206CC">
      <w:pPr>
        <w:rPr>
          <w:rFonts w:asciiTheme="minorBidi" w:hAnsiTheme="minorBidi"/>
          <w:sz w:val="24"/>
          <w:szCs w:val="24"/>
          <w:lang w:bidi="ar-EG"/>
        </w:rPr>
      </w:pPr>
    </w:p>
    <w:p w14:paraId="49870B5E" w14:textId="77777777" w:rsidR="00443E22" w:rsidRDefault="00443E22">
      <w:pPr>
        <w:rPr>
          <w:rFonts w:asciiTheme="minorBidi" w:hAnsiTheme="minorBidi"/>
          <w:sz w:val="24"/>
          <w:szCs w:val="24"/>
          <w:lang w:bidi="ar-EG"/>
        </w:rPr>
      </w:pPr>
      <w:r>
        <w:rPr>
          <w:rFonts w:asciiTheme="minorBidi" w:hAnsiTheme="minorBidi"/>
          <w:sz w:val="24"/>
          <w:szCs w:val="24"/>
          <w:lang w:bidi="ar-EG"/>
        </w:rPr>
        <w:br w:type="page"/>
      </w:r>
    </w:p>
    <w:p w14:paraId="798F7830" w14:textId="77777777" w:rsidR="00443E22" w:rsidRPr="00443E22" w:rsidRDefault="00443E22" w:rsidP="00443E22">
      <w:pPr>
        <w:spacing w:line="259" w:lineRule="auto"/>
      </w:pPr>
      <w:r w:rsidRPr="00443E22">
        <w:rPr>
          <w:noProof/>
        </w:rPr>
        <w:lastRenderedPageBreak/>
        <w:drawing>
          <wp:anchor distT="0" distB="0" distL="114300" distR="114300" simplePos="0" relativeHeight="251700224" behindDoc="0" locked="0" layoutInCell="1" allowOverlap="1" wp14:anchorId="2C3E93C2" wp14:editId="77B733D8">
            <wp:simplePos x="0" y="0"/>
            <wp:positionH relativeFrom="margin">
              <wp:posOffset>685800</wp:posOffset>
            </wp:positionH>
            <wp:positionV relativeFrom="paragraph">
              <wp:posOffset>0</wp:posOffset>
            </wp:positionV>
            <wp:extent cx="4572000" cy="2695575"/>
            <wp:effectExtent l="0" t="0" r="0" b="9525"/>
            <wp:wrapThrough wrapText="bothSides">
              <wp:wrapPolygon edited="0">
                <wp:start x="0" y="0"/>
                <wp:lineTo x="0" y="21524"/>
                <wp:lineTo x="21510" y="21524"/>
                <wp:lineTo x="21510" y="0"/>
                <wp:lineTo x="0" y="0"/>
              </wp:wrapPolygon>
            </wp:wrapThrough>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p>
    <w:p w14:paraId="1002D448" w14:textId="77777777" w:rsidR="00443E22" w:rsidRPr="00443E22" w:rsidRDefault="00443E22" w:rsidP="00443E22">
      <w:pPr>
        <w:spacing w:line="259" w:lineRule="auto"/>
      </w:pPr>
    </w:p>
    <w:p w14:paraId="579697F6" w14:textId="77777777" w:rsidR="00443E22" w:rsidRPr="00443E22" w:rsidRDefault="00443E22" w:rsidP="00443E22">
      <w:pPr>
        <w:spacing w:line="259" w:lineRule="auto"/>
      </w:pPr>
    </w:p>
    <w:p w14:paraId="47508EFC" w14:textId="77777777" w:rsidR="00443E22" w:rsidRPr="00443E22" w:rsidRDefault="00443E22" w:rsidP="00443E22">
      <w:pPr>
        <w:spacing w:line="259" w:lineRule="auto"/>
      </w:pPr>
    </w:p>
    <w:p w14:paraId="788A327C" w14:textId="77777777" w:rsidR="00443E22" w:rsidRPr="00443E22" w:rsidRDefault="00443E22" w:rsidP="00443E22">
      <w:pPr>
        <w:spacing w:line="259" w:lineRule="auto"/>
      </w:pPr>
    </w:p>
    <w:p w14:paraId="68BFB030" w14:textId="77777777" w:rsidR="00443E22" w:rsidRPr="00443E22" w:rsidRDefault="00443E22" w:rsidP="00443E22">
      <w:pPr>
        <w:spacing w:line="259" w:lineRule="auto"/>
      </w:pPr>
    </w:p>
    <w:p w14:paraId="1CD70612" w14:textId="77777777" w:rsidR="00443E22" w:rsidRPr="00443E22" w:rsidRDefault="00443E22" w:rsidP="00443E22">
      <w:pPr>
        <w:spacing w:line="259" w:lineRule="auto"/>
      </w:pPr>
    </w:p>
    <w:p w14:paraId="001091D9" w14:textId="77777777" w:rsidR="00443E22" w:rsidRPr="00443E22" w:rsidRDefault="00443E22" w:rsidP="00443E22">
      <w:pPr>
        <w:spacing w:line="259" w:lineRule="auto"/>
      </w:pPr>
    </w:p>
    <w:p w14:paraId="16B7D2E1" w14:textId="77777777" w:rsidR="00443E22" w:rsidRPr="00443E22" w:rsidRDefault="00443E22" w:rsidP="00443E22">
      <w:pPr>
        <w:spacing w:line="259" w:lineRule="auto"/>
      </w:pPr>
    </w:p>
    <w:p w14:paraId="2521B930" w14:textId="77777777" w:rsidR="00443E22" w:rsidRPr="00443E22" w:rsidRDefault="00443E22" w:rsidP="00443E22">
      <w:pPr>
        <w:spacing w:line="259" w:lineRule="auto"/>
      </w:pPr>
      <w:r w:rsidRPr="00443E22">
        <w:rPr>
          <w:noProof/>
        </w:rPr>
        <w:drawing>
          <wp:anchor distT="0" distB="0" distL="114300" distR="114300" simplePos="0" relativeHeight="251701248" behindDoc="0" locked="0" layoutInCell="1" allowOverlap="1" wp14:anchorId="4A4CD26A" wp14:editId="00310A8C">
            <wp:simplePos x="0" y="0"/>
            <wp:positionH relativeFrom="margin">
              <wp:align>center</wp:align>
            </wp:positionH>
            <wp:positionV relativeFrom="paragraph">
              <wp:posOffset>172720</wp:posOffset>
            </wp:positionV>
            <wp:extent cx="4572000" cy="2571750"/>
            <wp:effectExtent l="0" t="0" r="0" b="0"/>
            <wp:wrapThrough wrapText="bothSides">
              <wp:wrapPolygon edited="0">
                <wp:start x="0" y="0"/>
                <wp:lineTo x="0" y="21440"/>
                <wp:lineTo x="21510" y="21440"/>
                <wp:lineTo x="21510" y="0"/>
                <wp:lineTo x="0" y="0"/>
              </wp:wrapPolygon>
            </wp:wrapThrough>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p>
    <w:p w14:paraId="19CA3775" w14:textId="77777777" w:rsidR="00443E22" w:rsidRPr="00443E22" w:rsidRDefault="00443E22" w:rsidP="00443E22">
      <w:pPr>
        <w:spacing w:line="259" w:lineRule="auto"/>
      </w:pPr>
    </w:p>
    <w:p w14:paraId="7DBE3CAC" w14:textId="77777777" w:rsidR="00443E22" w:rsidRPr="00443E22" w:rsidRDefault="00443E22" w:rsidP="00443E22">
      <w:pPr>
        <w:spacing w:line="259" w:lineRule="auto"/>
      </w:pPr>
    </w:p>
    <w:p w14:paraId="062A8308" w14:textId="77777777" w:rsidR="00443E22" w:rsidRPr="00443E22" w:rsidRDefault="00443E22" w:rsidP="00443E22">
      <w:pPr>
        <w:spacing w:line="259" w:lineRule="auto"/>
      </w:pPr>
    </w:p>
    <w:p w14:paraId="27F176CA" w14:textId="77777777" w:rsidR="00443E22" w:rsidRPr="00443E22" w:rsidRDefault="00443E22" w:rsidP="00443E22">
      <w:pPr>
        <w:spacing w:line="259" w:lineRule="auto"/>
      </w:pPr>
    </w:p>
    <w:p w14:paraId="7566F5A7" w14:textId="77777777" w:rsidR="00443E22" w:rsidRPr="00443E22" w:rsidRDefault="00443E22" w:rsidP="00443E22">
      <w:pPr>
        <w:spacing w:line="259" w:lineRule="auto"/>
      </w:pPr>
    </w:p>
    <w:p w14:paraId="09EAF272" w14:textId="77777777" w:rsidR="00443E22" w:rsidRPr="00443E22" w:rsidRDefault="00443E22" w:rsidP="00443E22">
      <w:pPr>
        <w:spacing w:line="259" w:lineRule="auto"/>
      </w:pPr>
    </w:p>
    <w:p w14:paraId="1563ACC0" w14:textId="77777777" w:rsidR="00443E22" w:rsidRPr="00443E22" w:rsidRDefault="00443E22" w:rsidP="00443E22">
      <w:pPr>
        <w:spacing w:line="259" w:lineRule="auto"/>
      </w:pPr>
    </w:p>
    <w:p w14:paraId="2BE6F11B" w14:textId="77777777" w:rsidR="00443E22" w:rsidRPr="00443E22" w:rsidRDefault="00443E22" w:rsidP="00443E22">
      <w:pPr>
        <w:spacing w:line="259" w:lineRule="auto"/>
      </w:pPr>
    </w:p>
    <w:p w14:paraId="55BC6ADB" w14:textId="77777777" w:rsidR="00443E22" w:rsidRPr="00443E22" w:rsidRDefault="00443E22" w:rsidP="00443E22">
      <w:pPr>
        <w:spacing w:after="3"/>
        <w:jc w:val="both"/>
        <w:rPr>
          <w:rFonts w:ascii="Arial" w:eastAsia="Arial" w:hAnsi="Arial" w:cs="Arial"/>
          <w:color w:val="000000" w:themeColor="text1"/>
          <w:sz w:val="24"/>
          <w:szCs w:val="24"/>
        </w:rPr>
      </w:pPr>
    </w:p>
    <w:p w14:paraId="385C296D" w14:textId="24070E5B" w:rsidR="009F01B4" w:rsidRDefault="00443E22" w:rsidP="00443E22">
      <w:pPr>
        <w:spacing w:after="3"/>
        <w:jc w:val="both"/>
        <w:rPr>
          <w:rFonts w:ascii="Arial" w:eastAsia="Arial" w:hAnsi="Arial" w:cs="Arial"/>
          <w:color w:val="000000" w:themeColor="text1"/>
          <w:sz w:val="24"/>
          <w:szCs w:val="24"/>
        </w:rPr>
      </w:pPr>
      <w:r w:rsidRPr="00443E22">
        <w:rPr>
          <w:rFonts w:ascii="Arial" w:eastAsia="Arial" w:hAnsi="Arial" w:cs="Arial"/>
          <w:color w:val="000000" w:themeColor="text1"/>
          <w:sz w:val="24"/>
          <w:szCs w:val="24"/>
        </w:rPr>
        <w:t>As for ROE, QNB is performing better through the 5 years than AAIB, the lowest in QNB is the higher in AAID. QNB has an efficient control on the expenses and asset management that is why it is performing well also in 2016/2017 shows and efficient control in tax management, due to the decrease in assets it caused equity multiplier to decrease. On the other hand, AAIB there is no control over asset and expense management, but the tax management was efficient in 2016 till 2019 because of the increase of equity multiplier due to assets increasing compared to the total equity.</w:t>
      </w:r>
    </w:p>
    <w:p w14:paraId="0DCA46B4" w14:textId="0EE831BA" w:rsidR="009F01B4" w:rsidRDefault="009F01B4" w:rsidP="009F01B4">
      <w:pPr>
        <w:rPr>
          <w:rFonts w:ascii="Arial" w:eastAsia="Arial" w:hAnsi="Arial" w:cs="Arial"/>
          <w:color w:val="000000" w:themeColor="text1"/>
          <w:sz w:val="24"/>
          <w:szCs w:val="24"/>
        </w:rPr>
      </w:pPr>
      <w:r>
        <w:rPr>
          <w:rFonts w:ascii="Arial" w:eastAsia="Arial" w:hAnsi="Arial" w:cs="Arial"/>
          <w:color w:val="000000" w:themeColor="text1"/>
          <w:sz w:val="24"/>
          <w:szCs w:val="24"/>
        </w:rPr>
        <w:br w:type="page"/>
      </w:r>
    </w:p>
    <w:p w14:paraId="2D39D375" w14:textId="03BB9F50" w:rsidR="009F01B4" w:rsidRDefault="009F01B4" w:rsidP="009F01B4">
      <w:pPr>
        <w:pStyle w:val="Heading1"/>
        <w:jc w:val="center"/>
        <w:rPr>
          <w:rFonts w:asciiTheme="minorBidi" w:eastAsia="Arial" w:hAnsiTheme="minorBidi" w:cstheme="minorBidi"/>
          <w:b/>
          <w:bCs/>
          <w:color w:val="FF0000"/>
          <w:sz w:val="36"/>
          <w:szCs w:val="36"/>
        </w:rPr>
      </w:pPr>
      <w:bookmarkStart w:id="15" w:name="_Toc59103036"/>
      <w:r w:rsidRPr="009F01B4">
        <w:rPr>
          <w:rFonts w:asciiTheme="minorBidi" w:eastAsia="Arial" w:hAnsiTheme="minorBidi" w:cstheme="minorBidi"/>
          <w:b/>
          <w:bCs/>
          <w:color w:val="FF0000"/>
          <w:sz w:val="36"/>
          <w:szCs w:val="36"/>
        </w:rPr>
        <w:lastRenderedPageBreak/>
        <w:t>Risk Management Analysis</w:t>
      </w:r>
      <w:bookmarkEnd w:id="15"/>
    </w:p>
    <w:p w14:paraId="6180703A" w14:textId="6554F462"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The risk management analysis is one of the main parts or the integral part of any business and decision-making process. First, QNB bank performance or any bank performance depends on the ability to manage risks at any level to ensure a crucial balance between risks and rewards. Moreover, risk management is the process of identifying, monitoring, controlling and managing risks at all levels and reports it to the board of directors to ensure the balance between risks and rewards to ensure protection for stakeholders. </w:t>
      </w:r>
    </w:p>
    <w:p w14:paraId="1A3F722F" w14:textId="54DBE98A" w:rsidR="00521A22" w:rsidRPr="00521A22" w:rsidRDefault="00521A22" w:rsidP="00521A22">
      <w:pPr>
        <w:pStyle w:val="Heading2"/>
        <w:rPr>
          <w:rFonts w:asciiTheme="minorBidi" w:hAnsiTheme="minorBidi" w:cstheme="minorBidi"/>
          <w:b/>
          <w:bCs/>
          <w:color w:val="1F3864" w:themeColor="accent1" w:themeShade="80"/>
          <w:sz w:val="32"/>
          <w:szCs w:val="32"/>
        </w:rPr>
      </w:pPr>
      <w:bookmarkStart w:id="16" w:name="_Toc59103037"/>
      <w:r w:rsidRPr="00521A22">
        <w:rPr>
          <w:rFonts w:asciiTheme="minorBidi" w:hAnsiTheme="minorBidi" w:cstheme="minorBidi"/>
          <w:b/>
          <w:bCs/>
          <w:color w:val="1F3864" w:themeColor="accent1" w:themeShade="80"/>
          <w:sz w:val="32"/>
          <w:szCs w:val="32"/>
        </w:rPr>
        <w:t xml:space="preserve">Liquidity </w:t>
      </w:r>
      <w:r w:rsidR="00867F48">
        <w:rPr>
          <w:rFonts w:asciiTheme="minorBidi" w:hAnsiTheme="minorBidi" w:cstheme="minorBidi"/>
          <w:b/>
          <w:bCs/>
          <w:color w:val="1F3864" w:themeColor="accent1" w:themeShade="80"/>
          <w:sz w:val="32"/>
          <w:szCs w:val="32"/>
        </w:rPr>
        <w:t>R</w:t>
      </w:r>
      <w:r w:rsidRPr="00521A22">
        <w:rPr>
          <w:rFonts w:asciiTheme="minorBidi" w:hAnsiTheme="minorBidi" w:cstheme="minorBidi"/>
          <w:b/>
          <w:bCs/>
          <w:color w:val="1F3864" w:themeColor="accent1" w:themeShade="80"/>
          <w:sz w:val="32"/>
          <w:szCs w:val="32"/>
        </w:rPr>
        <w:t>isks</w:t>
      </w:r>
      <w:bookmarkEnd w:id="16"/>
    </w:p>
    <w:p w14:paraId="0F0C29FA" w14:textId="70D57D8E"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Firstly, we have liquidity risks which is the risk arises from the liquidity of assets in markets due to outstanding demand and, the availability of organizational cash or capital liquidity that helps in continuing market activities. </w:t>
      </w:r>
    </w:p>
    <w:p w14:paraId="60B31870"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The QNB bank considered liquidity risks as an essential process in ensuring profit for the bank and their stakeholders in retain of financial markets and the central bank of Egypt. The full responsibility of risk management structure is made by local ALCO as a result of approved policies by the board of directors with day to day management that get managed by the treasury department.  Although, supervising risk management is a process through acting inside ALCO offers that guarantee or ensure that the bank resources are sufficient in terms of density and amount which allows planned and unplanned accommodations to increase in funding requirements without negative impact on profits or on the perception of the bank in markets.</w:t>
      </w:r>
    </w:p>
    <w:p w14:paraId="51BD5881" w14:textId="77777777" w:rsidR="00521A22" w:rsidRPr="00521A22" w:rsidRDefault="00521A22" w:rsidP="00521A22">
      <w:pPr>
        <w:rPr>
          <w:rFonts w:asciiTheme="minorBidi" w:hAnsiTheme="minorBidi"/>
          <w:sz w:val="24"/>
          <w:szCs w:val="24"/>
        </w:rPr>
      </w:pPr>
    </w:p>
    <w:p w14:paraId="67F92234" w14:textId="438EF8D4" w:rsidR="00521A22" w:rsidRPr="00521A22" w:rsidRDefault="00521A22" w:rsidP="00521A22">
      <w:pPr>
        <w:pStyle w:val="Heading2"/>
        <w:rPr>
          <w:rFonts w:asciiTheme="minorBidi" w:hAnsiTheme="minorBidi" w:cstheme="minorBidi"/>
          <w:b/>
          <w:bCs/>
          <w:color w:val="1F3864" w:themeColor="accent1" w:themeShade="80"/>
          <w:sz w:val="32"/>
          <w:szCs w:val="32"/>
        </w:rPr>
      </w:pPr>
      <w:bookmarkStart w:id="17" w:name="_Toc59103038"/>
      <w:r w:rsidRPr="00521A22">
        <w:rPr>
          <w:rFonts w:asciiTheme="minorBidi" w:hAnsiTheme="minorBidi" w:cstheme="minorBidi"/>
          <w:b/>
          <w:bCs/>
          <w:color w:val="1F3864" w:themeColor="accent1" w:themeShade="80"/>
          <w:sz w:val="32"/>
          <w:szCs w:val="32"/>
        </w:rPr>
        <w:lastRenderedPageBreak/>
        <w:t xml:space="preserve">Operational </w:t>
      </w:r>
      <w:r w:rsidR="00867F48">
        <w:rPr>
          <w:rFonts w:asciiTheme="minorBidi" w:hAnsiTheme="minorBidi" w:cstheme="minorBidi"/>
          <w:b/>
          <w:bCs/>
          <w:color w:val="1F3864" w:themeColor="accent1" w:themeShade="80"/>
          <w:sz w:val="32"/>
          <w:szCs w:val="32"/>
        </w:rPr>
        <w:t>R</w:t>
      </w:r>
      <w:r w:rsidRPr="00521A22">
        <w:rPr>
          <w:rFonts w:asciiTheme="minorBidi" w:hAnsiTheme="minorBidi" w:cstheme="minorBidi"/>
          <w:b/>
          <w:bCs/>
          <w:color w:val="1F3864" w:themeColor="accent1" w:themeShade="80"/>
          <w:sz w:val="32"/>
          <w:szCs w:val="32"/>
        </w:rPr>
        <w:t>isk</w:t>
      </w:r>
      <w:bookmarkEnd w:id="17"/>
    </w:p>
    <w:p w14:paraId="5BA220D2" w14:textId="28052E9A"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Operational risk is the risk of loss that comes from errors in internal systems that makes banks earnings uncertain due to uncertain operating expenses such as error in computer system. </w:t>
      </w:r>
    </w:p>
    <w:p w14:paraId="75D202C2" w14:textId="41CA3E44" w:rsidR="00521A22" w:rsidRPr="00521A22" w:rsidRDefault="00521A22" w:rsidP="00521A22">
      <w:pPr>
        <w:rPr>
          <w:rFonts w:asciiTheme="minorBidi" w:hAnsiTheme="minorBidi"/>
          <w:sz w:val="24"/>
          <w:szCs w:val="24"/>
        </w:rPr>
      </w:pPr>
      <w:r w:rsidRPr="00521A22">
        <w:rPr>
          <w:rFonts w:asciiTheme="minorBidi" w:hAnsiTheme="minorBidi"/>
          <w:b/>
          <w:bCs/>
          <w:noProof/>
          <w:sz w:val="24"/>
          <w:szCs w:val="24"/>
          <w:u w:val="single"/>
        </w:rPr>
        <w:drawing>
          <wp:anchor distT="0" distB="0" distL="114300" distR="114300" simplePos="0" relativeHeight="251703296" behindDoc="0" locked="0" layoutInCell="1" allowOverlap="1" wp14:anchorId="41DE7299" wp14:editId="64900C66">
            <wp:simplePos x="0" y="0"/>
            <wp:positionH relativeFrom="column">
              <wp:posOffset>-542925</wp:posOffset>
            </wp:positionH>
            <wp:positionV relativeFrom="paragraph">
              <wp:posOffset>2075180</wp:posOffset>
            </wp:positionV>
            <wp:extent cx="3381375" cy="1657350"/>
            <wp:effectExtent l="0" t="0" r="9525" b="0"/>
            <wp:wrapThrough wrapText="bothSides">
              <wp:wrapPolygon edited="0">
                <wp:start x="0" y="0"/>
                <wp:lineTo x="0" y="21352"/>
                <wp:lineTo x="21539" y="21352"/>
                <wp:lineTo x="2153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2.png"/>
                    <pic:cNvPicPr/>
                  </pic:nvPicPr>
                  <pic:blipFill>
                    <a:blip r:embed="rId43">
                      <a:extLst>
                        <a:ext uri="{28A0092B-C50C-407E-A947-70E740481C1C}">
                          <a14:useLocalDpi xmlns:a14="http://schemas.microsoft.com/office/drawing/2010/main" val="0"/>
                        </a:ext>
                      </a:extLst>
                    </a:blip>
                    <a:stretch>
                      <a:fillRect/>
                    </a:stretch>
                  </pic:blipFill>
                  <pic:spPr>
                    <a:xfrm>
                      <a:off x="0" y="0"/>
                      <a:ext cx="3381375" cy="1657350"/>
                    </a:xfrm>
                    <a:prstGeom prst="rect">
                      <a:avLst/>
                    </a:prstGeom>
                  </pic:spPr>
                </pic:pic>
              </a:graphicData>
            </a:graphic>
            <wp14:sizeRelH relativeFrom="margin">
              <wp14:pctWidth>0</wp14:pctWidth>
            </wp14:sizeRelH>
            <wp14:sizeRelV relativeFrom="margin">
              <wp14:pctHeight>0</wp14:pctHeight>
            </wp14:sizeRelV>
          </wp:anchor>
        </w:drawing>
      </w:r>
      <w:r w:rsidRPr="00521A22">
        <w:rPr>
          <w:rFonts w:asciiTheme="minorBidi" w:hAnsiTheme="minorBidi"/>
          <w:b/>
          <w:bCs/>
          <w:noProof/>
          <w:sz w:val="24"/>
          <w:szCs w:val="24"/>
          <w:u w:val="single"/>
        </w:rPr>
        <w:drawing>
          <wp:anchor distT="0" distB="0" distL="114300" distR="114300" simplePos="0" relativeHeight="251702272" behindDoc="0" locked="0" layoutInCell="1" allowOverlap="1" wp14:anchorId="543E2071" wp14:editId="25A0399A">
            <wp:simplePos x="0" y="0"/>
            <wp:positionH relativeFrom="column">
              <wp:posOffset>3047365</wp:posOffset>
            </wp:positionH>
            <wp:positionV relativeFrom="paragraph">
              <wp:posOffset>2065655</wp:posOffset>
            </wp:positionV>
            <wp:extent cx="3447415" cy="1609725"/>
            <wp:effectExtent l="0" t="0" r="635" b="9525"/>
            <wp:wrapThrough wrapText="bothSides">
              <wp:wrapPolygon edited="0">
                <wp:start x="0" y="0"/>
                <wp:lineTo x="0" y="21472"/>
                <wp:lineTo x="21485" y="21472"/>
                <wp:lineTo x="2148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44">
                      <a:extLst>
                        <a:ext uri="{28A0092B-C50C-407E-A947-70E740481C1C}">
                          <a14:useLocalDpi xmlns:a14="http://schemas.microsoft.com/office/drawing/2010/main" val="0"/>
                        </a:ext>
                      </a:extLst>
                    </a:blip>
                    <a:stretch>
                      <a:fillRect/>
                    </a:stretch>
                  </pic:blipFill>
                  <pic:spPr>
                    <a:xfrm>
                      <a:off x="0" y="0"/>
                      <a:ext cx="3447415" cy="1609725"/>
                    </a:xfrm>
                    <a:prstGeom prst="rect">
                      <a:avLst/>
                    </a:prstGeom>
                  </pic:spPr>
                </pic:pic>
              </a:graphicData>
            </a:graphic>
            <wp14:sizeRelH relativeFrom="margin">
              <wp14:pctWidth>0</wp14:pctWidth>
            </wp14:sizeRelH>
          </wp:anchor>
        </w:drawing>
      </w:r>
      <w:r w:rsidRPr="00521A22">
        <w:rPr>
          <w:rFonts w:asciiTheme="minorBidi" w:hAnsiTheme="minorBidi"/>
          <w:sz w:val="24"/>
          <w:szCs w:val="24"/>
        </w:rPr>
        <w:t xml:space="preserve">QNB bank made successful improvements in operational risk framework by implementing a risk control assurance program that work to assist the accountability of risk management for Qatar and throughout wide international network and conducting on sites visits of international networks with a view to improve the level oversight and effectiveness which in return will help the bank to grow and expand internationally and invest in new tools to build awareness </w:t>
      </w:r>
    </w:p>
    <w:p w14:paraId="15321FC3" w14:textId="4F11F522" w:rsidR="00521A22" w:rsidRPr="00521A22" w:rsidRDefault="00521A22" w:rsidP="00521A22">
      <w:pPr>
        <w:pStyle w:val="Heading2"/>
        <w:rPr>
          <w:rFonts w:asciiTheme="minorBidi" w:hAnsiTheme="minorBidi" w:cstheme="minorBidi"/>
          <w:b/>
          <w:bCs/>
          <w:color w:val="1F3864" w:themeColor="accent1" w:themeShade="80"/>
          <w:sz w:val="32"/>
          <w:szCs w:val="32"/>
        </w:rPr>
      </w:pPr>
      <w:bookmarkStart w:id="18" w:name="_Toc59103039"/>
      <w:r w:rsidRPr="00521A22">
        <w:rPr>
          <w:rFonts w:asciiTheme="minorBidi" w:hAnsiTheme="minorBidi" w:cstheme="minorBidi"/>
          <w:b/>
          <w:bCs/>
          <w:color w:val="1F3864" w:themeColor="accent1" w:themeShade="80"/>
          <w:sz w:val="32"/>
          <w:szCs w:val="32"/>
        </w:rPr>
        <w:t xml:space="preserve">The </w:t>
      </w:r>
      <w:r>
        <w:rPr>
          <w:rFonts w:asciiTheme="minorBidi" w:hAnsiTheme="minorBidi" w:cstheme="minorBidi"/>
          <w:b/>
          <w:bCs/>
          <w:color w:val="1F3864" w:themeColor="accent1" w:themeShade="80"/>
          <w:sz w:val="32"/>
          <w:szCs w:val="32"/>
        </w:rPr>
        <w:t>O</w:t>
      </w:r>
      <w:r w:rsidRPr="00521A22">
        <w:rPr>
          <w:rFonts w:asciiTheme="minorBidi" w:hAnsiTheme="minorBidi" w:cstheme="minorBidi"/>
          <w:b/>
          <w:bCs/>
          <w:color w:val="1F3864" w:themeColor="accent1" w:themeShade="80"/>
          <w:sz w:val="32"/>
          <w:szCs w:val="32"/>
        </w:rPr>
        <w:t xml:space="preserve">verall </w:t>
      </w:r>
      <w:r>
        <w:rPr>
          <w:rFonts w:asciiTheme="minorBidi" w:hAnsiTheme="minorBidi" w:cstheme="minorBidi"/>
          <w:b/>
          <w:bCs/>
          <w:color w:val="1F3864" w:themeColor="accent1" w:themeShade="80"/>
          <w:sz w:val="32"/>
          <w:szCs w:val="32"/>
        </w:rPr>
        <w:t>M</w:t>
      </w:r>
      <w:r w:rsidRPr="00521A22">
        <w:rPr>
          <w:rFonts w:asciiTheme="minorBidi" w:hAnsiTheme="minorBidi" w:cstheme="minorBidi"/>
          <w:b/>
          <w:bCs/>
          <w:color w:val="1F3864" w:themeColor="accent1" w:themeShade="80"/>
          <w:sz w:val="32"/>
          <w:szCs w:val="32"/>
        </w:rPr>
        <w:t xml:space="preserve">anagement </w:t>
      </w:r>
      <w:r>
        <w:rPr>
          <w:rFonts w:asciiTheme="minorBidi" w:hAnsiTheme="minorBidi" w:cstheme="minorBidi"/>
          <w:b/>
          <w:bCs/>
          <w:color w:val="1F3864" w:themeColor="accent1" w:themeShade="80"/>
          <w:sz w:val="32"/>
          <w:szCs w:val="32"/>
        </w:rPr>
        <w:t>R</w:t>
      </w:r>
      <w:r w:rsidRPr="00521A22">
        <w:rPr>
          <w:rFonts w:asciiTheme="minorBidi" w:hAnsiTheme="minorBidi" w:cstheme="minorBidi"/>
          <w:b/>
          <w:bCs/>
          <w:color w:val="1F3864" w:themeColor="accent1" w:themeShade="80"/>
          <w:sz w:val="32"/>
          <w:szCs w:val="32"/>
        </w:rPr>
        <w:t>isk</w:t>
      </w:r>
      <w:bookmarkEnd w:id="18"/>
    </w:p>
    <w:p w14:paraId="3EF92E0B" w14:textId="3833A0C7" w:rsidR="00521A22" w:rsidRPr="00521A22" w:rsidRDefault="00521A22" w:rsidP="00521A22">
      <w:pPr>
        <w:rPr>
          <w:rFonts w:asciiTheme="minorBidi" w:hAnsiTheme="minorBidi"/>
          <w:sz w:val="24"/>
          <w:szCs w:val="24"/>
        </w:rPr>
      </w:pPr>
      <w:r w:rsidRPr="00521A22">
        <w:rPr>
          <w:rFonts w:asciiTheme="minorBidi" w:hAnsiTheme="minorBidi"/>
          <w:sz w:val="24"/>
          <w:szCs w:val="24"/>
        </w:rPr>
        <w:t>The overall management risk is the process of evaluating th</w:t>
      </w:r>
      <w:r>
        <w:rPr>
          <w:rFonts w:asciiTheme="minorBidi" w:hAnsiTheme="minorBidi"/>
          <w:sz w:val="24"/>
          <w:szCs w:val="24"/>
        </w:rPr>
        <w:t>r</w:t>
      </w:r>
      <w:r w:rsidRPr="00521A22">
        <w:rPr>
          <w:rFonts w:asciiTheme="minorBidi" w:hAnsiTheme="minorBidi"/>
          <w:sz w:val="24"/>
          <w:szCs w:val="24"/>
        </w:rPr>
        <w:t xml:space="preserve">ee potential losses and failures of any bank and supports it to take precautions to have a fast response for any potential problem could occur.  </w:t>
      </w:r>
    </w:p>
    <w:p w14:paraId="78682A4B" w14:textId="5CEC75D2"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First, after calculating the return on equity (ROE) and the return of asset (ROA) of the last 5 years for </w:t>
      </w:r>
      <w:proofErr w:type="gramStart"/>
      <w:r w:rsidRPr="00521A22">
        <w:rPr>
          <w:rFonts w:asciiTheme="minorBidi" w:hAnsiTheme="minorBidi"/>
          <w:sz w:val="24"/>
          <w:szCs w:val="24"/>
        </w:rPr>
        <w:t>the both</w:t>
      </w:r>
      <w:proofErr w:type="gramEnd"/>
      <w:r w:rsidRPr="00521A22">
        <w:rPr>
          <w:rFonts w:asciiTheme="minorBidi" w:hAnsiTheme="minorBidi"/>
          <w:sz w:val="24"/>
          <w:szCs w:val="24"/>
        </w:rPr>
        <w:t xml:space="preserve"> banks QNB and AAIB, we have to compare both banks standard deviation of ROE and ROA.  The standard deviation of ROE for the last 5 </w:t>
      </w:r>
      <w:r w:rsidRPr="00521A22">
        <w:rPr>
          <w:rFonts w:asciiTheme="minorBidi" w:hAnsiTheme="minorBidi"/>
          <w:sz w:val="24"/>
          <w:szCs w:val="24"/>
        </w:rPr>
        <w:lastRenderedPageBreak/>
        <w:t xml:space="preserve">years of QNB bank is (1.568583183) and the standard deviation of ROE of AAIB bank is (2.630550317) which means that the standard deviation of ROE of AAIB bank is greater than QNB bank which makes the Arabic African international bank the riskier bank as in return it gives a bad influence or a bad indicator about the overall bank risk management. Moreover, the standards deviation of ROA of AAIB is also greater than QNB which makes QNB has a much better management of risks not like AAIB that </w:t>
      </w:r>
      <w:r w:rsidRPr="00521A22">
        <w:rPr>
          <w:rFonts w:asciiTheme="minorBidi" w:hAnsiTheme="minorBidi"/>
          <w:b/>
          <w:bCs/>
          <w:noProof/>
          <w:sz w:val="24"/>
          <w:szCs w:val="24"/>
          <w:u w:val="single"/>
        </w:rPr>
        <w:drawing>
          <wp:anchor distT="0" distB="0" distL="114300" distR="114300" simplePos="0" relativeHeight="251704320" behindDoc="0" locked="0" layoutInCell="1" allowOverlap="1" wp14:anchorId="44BD21D3" wp14:editId="01204B76">
            <wp:simplePos x="0" y="0"/>
            <wp:positionH relativeFrom="margin">
              <wp:posOffset>-533400</wp:posOffset>
            </wp:positionH>
            <wp:positionV relativeFrom="paragraph">
              <wp:posOffset>2333625</wp:posOffset>
            </wp:positionV>
            <wp:extent cx="7019925" cy="4229100"/>
            <wp:effectExtent l="0" t="0" r="9525" b="0"/>
            <wp:wrapThrough wrapText="bothSides">
              <wp:wrapPolygon edited="0">
                <wp:start x="0" y="0"/>
                <wp:lineTo x="0" y="21503"/>
                <wp:lineTo x="21571" y="21503"/>
                <wp:lineTo x="2157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ning spread.png"/>
                    <pic:cNvPicPr/>
                  </pic:nvPicPr>
                  <pic:blipFill>
                    <a:blip r:embed="rId45">
                      <a:extLst>
                        <a:ext uri="{28A0092B-C50C-407E-A947-70E740481C1C}">
                          <a14:useLocalDpi xmlns:a14="http://schemas.microsoft.com/office/drawing/2010/main" val="0"/>
                        </a:ext>
                      </a:extLst>
                    </a:blip>
                    <a:stretch>
                      <a:fillRect/>
                    </a:stretch>
                  </pic:blipFill>
                  <pic:spPr>
                    <a:xfrm>
                      <a:off x="0" y="0"/>
                      <a:ext cx="7019925" cy="4229100"/>
                    </a:xfrm>
                    <a:prstGeom prst="rect">
                      <a:avLst/>
                    </a:prstGeom>
                  </pic:spPr>
                </pic:pic>
              </a:graphicData>
            </a:graphic>
            <wp14:sizeRelH relativeFrom="margin">
              <wp14:pctWidth>0</wp14:pctWidth>
            </wp14:sizeRelH>
            <wp14:sizeRelV relativeFrom="margin">
              <wp14:pctHeight>0</wp14:pctHeight>
            </wp14:sizeRelV>
          </wp:anchor>
        </w:drawing>
      </w:r>
      <w:r w:rsidRPr="00521A22">
        <w:rPr>
          <w:rFonts w:asciiTheme="minorBidi" w:hAnsiTheme="minorBidi"/>
          <w:sz w:val="24"/>
          <w:szCs w:val="24"/>
        </w:rPr>
        <w:t>demonstrated much more risk because of bad management.</w:t>
      </w:r>
    </w:p>
    <w:p w14:paraId="4F2B7854" w14:textId="7B9FCB48" w:rsidR="00521A22" w:rsidRPr="00521A22" w:rsidRDefault="00521A22" w:rsidP="00521A22">
      <w:pPr>
        <w:rPr>
          <w:rFonts w:asciiTheme="minorBidi" w:hAnsiTheme="minorBidi"/>
          <w:sz w:val="24"/>
          <w:szCs w:val="24"/>
        </w:rPr>
      </w:pPr>
    </w:p>
    <w:p w14:paraId="51B41CBC" w14:textId="22E6376A" w:rsidR="00521A22" w:rsidRPr="00521A22" w:rsidRDefault="00521A22" w:rsidP="00521A22">
      <w:pPr>
        <w:rPr>
          <w:rFonts w:asciiTheme="minorBidi" w:hAnsiTheme="minorBidi"/>
          <w:b/>
          <w:bCs/>
          <w:sz w:val="24"/>
          <w:szCs w:val="24"/>
          <w:u w:val="single"/>
        </w:rPr>
      </w:pPr>
    </w:p>
    <w:p w14:paraId="05BF398F" w14:textId="4EFB9188" w:rsidR="00521A22" w:rsidRDefault="00521A22" w:rsidP="00521A22">
      <w:pPr>
        <w:rPr>
          <w:rFonts w:asciiTheme="minorBidi" w:hAnsiTheme="minorBidi"/>
          <w:b/>
          <w:bCs/>
          <w:sz w:val="24"/>
          <w:szCs w:val="24"/>
          <w:u w:val="single"/>
        </w:rPr>
      </w:pPr>
    </w:p>
    <w:p w14:paraId="240AF9EE" w14:textId="77777777" w:rsidR="00521A22" w:rsidRPr="00521A22" w:rsidRDefault="00521A22" w:rsidP="00521A22">
      <w:pPr>
        <w:rPr>
          <w:rFonts w:asciiTheme="minorBidi" w:hAnsiTheme="minorBidi"/>
          <w:b/>
          <w:bCs/>
          <w:sz w:val="24"/>
          <w:szCs w:val="24"/>
          <w:u w:val="single"/>
        </w:rPr>
      </w:pPr>
    </w:p>
    <w:p w14:paraId="140FCD96" w14:textId="484D746D" w:rsidR="00521A22" w:rsidRPr="00521A22" w:rsidRDefault="00521A22" w:rsidP="00521A22">
      <w:pPr>
        <w:pStyle w:val="Heading2"/>
        <w:rPr>
          <w:rFonts w:asciiTheme="minorBidi" w:hAnsiTheme="minorBidi" w:cstheme="minorBidi"/>
          <w:b/>
          <w:bCs/>
          <w:color w:val="1F3864" w:themeColor="accent1" w:themeShade="80"/>
          <w:sz w:val="32"/>
          <w:szCs w:val="32"/>
        </w:rPr>
      </w:pPr>
      <w:bookmarkStart w:id="19" w:name="_Toc59103040"/>
      <w:r w:rsidRPr="00521A22">
        <w:rPr>
          <w:rFonts w:asciiTheme="minorBidi" w:hAnsiTheme="minorBidi" w:cstheme="minorBidi"/>
          <w:b/>
          <w:bCs/>
          <w:color w:val="1F3864" w:themeColor="accent1" w:themeShade="80"/>
          <w:sz w:val="32"/>
          <w:szCs w:val="32"/>
        </w:rPr>
        <w:lastRenderedPageBreak/>
        <w:t xml:space="preserve">The </w:t>
      </w:r>
      <w:r>
        <w:rPr>
          <w:rFonts w:asciiTheme="minorBidi" w:hAnsiTheme="minorBidi" w:cstheme="minorBidi"/>
          <w:b/>
          <w:bCs/>
          <w:color w:val="1F3864" w:themeColor="accent1" w:themeShade="80"/>
          <w:sz w:val="32"/>
          <w:szCs w:val="32"/>
        </w:rPr>
        <w:t>E</w:t>
      </w:r>
      <w:r w:rsidRPr="00521A22">
        <w:rPr>
          <w:rFonts w:asciiTheme="minorBidi" w:hAnsiTheme="minorBidi" w:cstheme="minorBidi"/>
          <w:b/>
          <w:bCs/>
          <w:color w:val="1F3864" w:themeColor="accent1" w:themeShade="80"/>
          <w:sz w:val="32"/>
          <w:szCs w:val="32"/>
        </w:rPr>
        <w:t xml:space="preserve">arning </w:t>
      </w:r>
      <w:r>
        <w:rPr>
          <w:rFonts w:asciiTheme="minorBidi" w:hAnsiTheme="minorBidi" w:cstheme="minorBidi"/>
          <w:b/>
          <w:bCs/>
          <w:color w:val="1F3864" w:themeColor="accent1" w:themeShade="80"/>
          <w:sz w:val="32"/>
          <w:szCs w:val="32"/>
        </w:rPr>
        <w:t>S</w:t>
      </w:r>
      <w:r w:rsidRPr="00521A22">
        <w:rPr>
          <w:rFonts w:asciiTheme="minorBidi" w:hAnsiTheme="minorBidi" w:cstheme="minorBidi"/>
          <w:b/>
          <w:bCs/>
          <w:color w:val="1F3864" w:themeColor="accent1" w:themeShade="80"/>
          <w:sz w:val="32"/>
          <w:szCs w:val="32"/>
        </w:rPr>
        <w:t>pread</w:t>
      </w:r>
      <w:bookmarkEnd w:id="19"/>
    </w:p>
    <w:p w14:paraId="3D4EB488"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QNB BANK: at the last five years, QNB interest rate was not stable at all as at 2015 till 2016 QNB earning spread started decreasing as at the end of 2015 the earning spread was 0.47% and it decreased to -0.30 at the end of 2016. But on the other hand, the management started to improve by increasing the earning spread percentage and curve from 2017 till 2019 as the earnings increased in 2017 till 2018 from 1.28% to 2.25% and in 2018 till 2019 from 2.25% to 3.90%. which indicates that QNB interest rates was not stable and the management was not good enough at 2015 till 2016 but they have shown a good improvements in risks management  and increases in the bank earnings spread which in return increases the banks profit and give the bank a customer trust and loyalty. </w:t>
      </w:r>
    </w:p>
    <w:p w14:paraId="779DD85C" w14:textId="77777777" w:rsidR="00521A22" w:rsidRDefault="00521A22" w:rsidP="00521A22">
      <w:pPr>
        <w:rPr>
          <w:rFonts w:asciiTheme="minorBidi" w:hAnsiTheme="minorBidi"/>
          <w:sz w:val="24"/>
          <w:szCs w:val="24"/>
        </w:rPr>
      </w:pPr>
      <w:r w:rsidRPr="00521A22">
        <w:rPr>
          <w:rFonts w:asciiTheme="minorBidi" w:hAnsiTheme="minorBidi"/>
          <w:b/>
          <w:bCs/>
          <w:noProof/>
          <w:sz w:val="24"/>
          <w:szCs w:val="24"/>
          <w:u w:val="single"/>
        </w:rPr>
        <w:drawing>
          <wp:anchor distT="0" distB="0" distL="114300" distR="114300" simplePos="0" relativeHeight="251705344" behindDoc="0" locked="0" layoutInCell="1" allowOverlap="1" wp14:anchorId="4A41537C" wp14:editId="235F6920">
            <wp:simplePos x="0" y="0"/>
            <wp:positionH relativeFrom="margin">
              <wp:posOffset>-352425</wp:posOffset>
            </wp:positionH>
            <wp:positionV relativeFrom="paragraph">
              <wp:posOffset>2108200</wp:posOffset>
            </wp:positionV>
            <wp:extent cx="6705600" cy="2038350"/>
            <wp:effectExtent l="0" t="0" r="0" b="0"/>
            <wp:wrapThrough wrapText="bothSides">
              <wp:wrapPolygon edited="0">
                <wp:start x="0" y="0"/>
                <wp:lineTo x="0" y="21398"/>
                <wp:lineTo x="21539" y="21398"/>
                <wp:lineTo x="2153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idt  risk.png"/>
                    <pic:cNvPicPr/>
                  </pic:nvPicPr>
                  <pic:blipFill>
                    <a:blip r:embed="rId46">
                      <a:extLst>
                        <a:ext uri="{28A0092B-C50C-407E-A947-70E740481C1C}">
                          <a14:useLocalDpi xmlns:a14="http://schemas.microsoft.com/office/drawing/2010/main" val="0"/>
                        </a:ext>
                      </a:extLst>
                    </a:blip>
                    <a:stretch>
                      <a:fillRect/>
                    </a:stretch>
                  </pic:blipFill>
                  <pic:spPr>
                    <a:xfrm>
                      <a:off x="0" y="0"/>
                      <a:ext cx="6705600" cy="2038350"/>
                    </a:xfrm>
                    <a:prstGeom prst="rect">
                      <a:avLst/>
                    </a:prstGeom>
                  </pic:spPr>
                </pic:pic>
              </a:graphicData>
            </a:graphic>
            <wp14:sizeRelH relativeFrom="margin">
              <wp14:pctWidth>0</wp14:pctWidth>
            </wp14:sizeRelH>
            <wp14:sizeRelV relativeFrom="margin">
              <wp14:pctHeight>0</wp14:pctHeight>
            </wp14:sizeRelV>
          </wp:anchor>
        </w:drawing>
      </w:r>
      <w:r w:rsidRPr="00521A22">
        <w:rPr>
          <w:rFonts w:asciiTheme="minorBidi" w:hAnsiTheme="minorBidi"/>
          <w:sz w:val="24"/>
          <w:szCs w:val="24"/>
        </w:rPr>
        <w:t xml:space="preserve">AAIB BANK: at the last five years, starting from 2015 till 2017 AAIB management have shown a great effort and improvements in their managements and earnings spreads percentages as it increased at 2015 till 2016 from -0.8% to 0.56%. Also, in 2016 till 2017 from 0.56% to 0.85% But starting from 2018 till 2019 the bank earrings spread started to decrees from 0.44% to 0.32% and this huge decrease or fall indicates that this bank has a bad management that needs to be improved or replaced.    </w:t>
      </w:r>
    </w:p>
    <w:p w14:paraId="2DEA572C" w14:textId="1AB39D14" w:rsidR="00521A22" w:rsidRPr="00521A22" w:rsidRDefault="00521A22" w:rsidP="00521A22">
      <w:pPr>
        <w:pStyle w:val="Heading2"/>
        <w:rPr>
          <w:rFonts w:asciiTheme="minorBidi" w:hAnsiTheme="minorBidi" w:cstheme="minorBidi"/>
          <w:b/>
          <w:bCs/>
          <w:color w:val="1F3864" w:themeColor="accent1" w:themeShade="80"/>
          <w:sz w:val="32"/>
          <w:szCs w:val="32"/>
        </w:rPr>
      </w:pPr>
      <w:bookmarkStart w:id="20" w:name="_Toc59103041"/>
      <w:r w:rsidRPr="00521A22">
        <w:rPr>
          <w:rFonts w:asciiTheme="minorBidi" w:hAnsiTheme="minorBidi" w:cstheme="minorBidi"/>
          <w:b/>
          <w:bCs/>
          <w:color w:val="1F3864" w:themeColor="accent1" w:themeShade="80"/>
          <w:sz w:val="32"/>
          <w:szCs w:val="32"/>
        </w:rPr>
        <w:lastRenderedPageBreak/>
        <w:t>Credit risk</w:t>
      </w:r>
      <w:bookmarkEnd w:id="20"/>
    </w:p>
    <w:p w14:paraId="121EF0CE" w14:textId="14623D52"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The credit risk is the risk that happens as a result of creditors that couldn't repay the money back to the bank and it has six main measurements. </w:t>
      </w:r>
    </w:p>
    <w:p w14:paraId="4808BCB1" w14:textId="0F1B29E5" w:rsidR="00521A22" w:rsidRPr="00867F48" w:rsidRDefault="00867F48" w:rsidP="00867F48">
      <w:pPr>
        <w:pStyle w:val="ListParagraph"/>
        <w:numPr>
          <w:ilvl w:val="0"/>
          <w:numId w:val="19"/>
        </w:numPr>
        <w:rPr>
          <w:rFonts w:asciiTheme="minorBidi" w:hAnsiTheme="minorBidi"/>
          <w:b/>
          <w:bCs/>
          <w:sz w:val="24"/>
          <w:szCs w:val="24"/>
        </w:rPr>
      </w:pPr>
      <w:r w:rsidRPr="00867F48">
        <w:rPr>
          <w:rFonts w:asciiTheme="minorBidi" w:hAnsiTheme="minorBidi"/>
          <w:b/>
          <w:bCs/>
          <w:sz w:val="24"/>
          <w:szCs w:val="24"/>
        </w:rPr>
        <w:t>A</w:t>
      </w:r>
      <w:r w:rsidR="00521A22" w:rsidRPr="00867F48">
        <w:rPr>
          <w:rFonts w:asciiTheme="minorBidi" w:hAnsiTheme="minorBidi"/>
          <w:b/>
          <w:bCs/>
          <w:sz w:val="24"/>
          <w:szCs w:val="24"/>
        </w:rPr>
        <w:t>llowance for loans losses and total loans and leases.</w:t>
      </w:r>
    </w:p>
    <w:p w14:paraId="123BB270" w14:textId="25427381"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AAIB bank the allowance for loans and leases is increasing successfully from 2015 till 2019 but will small rate of growth but with good managing of credit risk as the bank rate increased from 2015 till 2016 from 218820 to 234977, from 2017 till 2018 from 256054 to 3099177, from 2018 till 2019 until it reached the peak the highest year which is worst year in managing risk by increasing the rate to 302688. But in </w:t>
      </w:r>
      <w:proofErr w:type="gramStart"/>
      <w:r w:rsidRPr="00521A22">
        <w:rPr>
          <w:rFonts w:asciiTheme="minorBidi" w:hAnsiTheme="minorBidi"/>
          <w:sz w:val="24"/>
          <w:szCs w:val="24"/>
        </w:rPr>
        <w:t>general</w:t>
      </w:r>
      <w:proofErr w:type="gramEnd"/>
      <w:r w:rsidRPr="00521A22">
        <w:rPr>
          <w:rFonts w:asciiTheme="minorBidi" w:hAnsiTheme="minorBidi"/>
          <w:sz w:val="24"/>
          <w:szCs w:val="24"/>
        </w:rPr>
        <w:t xml:space="preserve"> the bank had a good performance in the other 4 years but they increased the risk at the last year according to the past 4 years. </w:t>
      </w:r>
    </w:p>
    <w:p w14:paraId="173927E4" w14:textId="4F0B9449" w:rsidR="00521A22" w:rsidRDefault="00521A22" w:rsidP="00521A22">
      <w:pPr>
        <w:rPr>
          <w:rFonts w:asciiTheme="minorBidi" w:hAnsiTheme="minorBidi"/>
          <w:sz w:val="24"/>
          <w:szCs w:val="24"/>
        </w:rPr>
      </w:pPr>
      <w:r w:rsidRPr="00521A22">
        <w:rPr>
          <w:rFonts w:asciiTheme="minorBidi" w:hAnsiTheme="minorBidi"/>
          <w:sz w:val="24"/>
          <w:szCs w:val="24"/>
        </w:rPr>
        <w:t xml:space="preserve">At QNB bank the allowance for loans and leases is increasing in very high amounts compared to AAIB bank as it increased from 2015 till 2016 from 2294632119 to 463596523 which mean approximately the double of loans which indicates an increase in creditors risk to repay the bank but it's still the lowest year value to be increased. At 2017 till 2018 they increases the rate from 5250277536 to 5667717324 this year they have shown an logical increase in rate which makes this year the best performing year for the loans and leases allowance management among the other 4 years as the last year also was the worst year in managing risk as they increased the rate by huge raise again which in return increased the risk of creditors and indicates that the bank has a bad management that continued to increase the risk rather than decreasing it. </w:t>
      </w:r>
    </w:p>
    <w:p w14:paraId="0A44A18B" w14:textId="77777777" w:rsidR="00867F48" w:rsidRPr="00521A22" w:rsidRDefault="00867F48" w:rsidP="00521A22">
      <w:pPr>
        <w:rPr>
          <w:rFonts w:asciiTheme="minorBidi" w:hAnsiTheme="minorBidi"/>
          <w:sz w:val="24"/>
          <w:szCs w:val="24"/>
        </w:rPr>
      </w:pPr>
    </w:p>
    <w:p w14:paraId="06BC07F5" w14:textId="3DE4BC1C" w:rsidR="00521A22" w:rsidRPr="00867F48" w:rsidRDefault="00867F48" w:rsidP="00867F48">
      <w:pPr>
        <w:pStyle w:val="ListParagraph"/>
        <w:numPr>
          <w:ilvl w:val="0"/>
          <w:numId w:val="19"/>
        </w:numPr>
        <w:rPr>
          <w:rFonts w:asciiTheme="minorBidi" w:hAnsiTheme="minorBidi"/>
          <w:b/>
          <w:bCs/>
          <w:sz w:val="24"/>
          <w:szCs w:val="24"/>
        </w:rPr>
      </w:pPr>
      <w:r w:rsidRPr="00867F48">
        <w:rPr>
          <w:rFonts w:asciiTheme="minorBidi" w:hAnsiTheme="minorBidi"/>
          <w:b/>
          <w:bCs/>
          <w:sz w:val="24"/>
          <w:szCs w:val="24"/>
        </w:rPr>
        <w:lastRenderedPageBreak/>
        <w:t>P</w:t>
      </w:r>
      <w:r w:rsidR="00521A22" w:rsidRPr="00867F48">
        <w:rPr>
          <w:rFonts w:asciiTheme="minorBidi" w:hAnsiTheme="minorBidi"/>
          <w:b/>
          <w:bCs/>
          <w:sz w:val="24"/>
          <w:szCs w:val="24"/>
        </w:rPr>
        <w:t>rovision loans and leases.</w:t>
      </w:r>
    </w:p>
    <w:p w14:paraId="768A0955"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QNB , the bank started there provision by increasing their rates from 2015 bank started there provision by increasing the credit risk and this indicates the poor management of risks of QNB as they have reach the highest provision value which is the peak that could cause the bank to fail but they have effectively be able to reduce the risk of creditors by reducing or decreasing the rate from 2017 till 2019 to return the rate back to normal and improve the risk control and effectively and efficiently manage the creditors risk to maintain back good performance and increases profits for the bank as they decreased the rate from 935007098 to 349387 and this indicates how QNB risk management team is well qualified and effective to reduce the risk back.  </w:t>
      </w:r>
    </w:p>
    <w:p w14:paraId="2894FF16"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w:t>
      </w:r>
      <w:proofErr w:type="gramStart"/>
      <w:r w:rsidRPr="00521A22">
        <w:rPr>
          <w:rFonts w:asciiTheme="minorBidi" w:hAnsiTheme="minorBidi"/>
          <w:sz w:val="24"/>
          <w:szCs w:val="24"/>
        </w:rPr>
        <w:t>AAIB ,</w:t>
      </w:r>
      <w:proofErr w:type="gramEnd"/>
      <w:r w:rsidRPr="00521A22">
        <w:rPr>
          <w:rFonts w:asciiTheme="minorBidi" w:hAnsiTheme="minorBidi"/>
          <w:sz w:val="24"/>
          <w:szCs w:val="24"/>
        </w:rPr>
        <w:t xml:space="preserve"> the bank stared there last five years by taking well care of the credit risk as they started decreasing there provision rates since 2015 till 2019 as they started 2015 with the peak value or the highest value. </w:t>
      </w:r>
    </w:p>
    <w:p w14:paraId="770AB68C" w14:textId="07C89F48" w:rsidR="00521A22" w:rsidRPr="00867F48" w:rsidRDefault="00867F48" w:rsidP="00867F48">
      <w:pPr>
        <w:pStyle w:val="ListParagraph"/>
        <w:numPr>
          <w:ilvl w:val="0"/>
          <w:numId w:val="19"/>
        </w:numPr>
        <w:rPr>
          <w:rFonts w:asciiTheme="minorBidi" w:hAnsiTheme="minorBidi"/>
          <w:b/>
          <w:bCs/>
          <w:sz w:val="24"/>
          <w:szCs w:val="24"/>
        </w:rPr>
      </w:pPr>
      <w:r>
        <w:rPr>
          <w:rFonts w:asciiTheme="minorBidi" w:hAnsiTheme="minorBidi"/>
          <w:b/>
          <w:bCs/>
          <w:sz w:val="24"/>
          <w:szCs w:val="24"/>
        </w:rPr>
        <w:t>W</w:t>
      </w:r>
      <w:r w:rsidR="00521A22" w:rsidRPr="00867F48">
        <w:rPr>
          <w:rFonts w:asciiTheme="minorBidi" w:hAnsiTheme="minorBidi"/>
          <w:b/>
          <w:bCs/>
          <w:sz w:val="24"/>
          <w:szCs w:val="24"/>
        </w:rPr>
        <w:t>ritten offs loans and leases.</w:t>
      </w:r>
    </w:p>
    <w:p w14:paraId="710A049B"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QNB, the bank started 2015 with its peak value which is the highest charge offs value that caused the bank high creditors risk that came from bad managing f charge offs but the bank responded quickly by decreasing the charge offs from 2015 till 2017  until it reached the minimum charge offs value at 2017 which indicates that this year was the most efficient and effective year among the 5 years as this year has shown a good performance In managing charge offs risk by reducing it to minimum but the bank couldn't last good till the end as it return to increase again in 2017 till 2019 which indicated that the bank started inefficient but they improved their performance for 2 </w:t>
      </w:r>
      <w:r w:rsidRPr="00521A22">
        <w:rPr>
          <w:rFonts w:asciiTheme="minorBidi" w:hAnsiTheme="minorBidi"/>
          <w:sz w:val="24"/>
          <w:szCs w:val="24"/>
        </w:rPr>
        <w:lastRenderedPageBreak/>
        <w:t>years and then increased the risk again for the next 2 years but with much smaller rate of charge offs.</w:t>
      </w:r>
    </w:p>
    <w:p w14:paraId="285F8FF1"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AAIB bank, the bank started its first year of  charge offs with the minimum written offs rate of loans and leases at 2015 which was the most efficient and effective year and then they started to increase gradually from 2017 till 2019  but they remained constant from 2016 till 2017 but at the end the bank indicated poor written offs or charge offs management and poor performance and inefficient risk control as they continued to increase the rate and risk till there last year until they reached the peak or the worst year of performing due to high raise in charge offs rate.      </w:t>
      </w:r>
    </w:p>
    <w:p w14:paraId="7521DE19" w14:textId="39A9EE32" w:rsidR="00521A22" w:rsidRPr="00867F48" w:rsidRDefault="00867F48" w:rsidP="00867F48">
      <w:pPr>
        <w:pStyle w:val="ListParagraph"/>
        <w:numPr>
          <w:ilvl w:val="0"/>
          <w:numId w:val="19"/>
        </w:numPr>
        <w:rPr>
          <w:rFonts w:asciiTheme="minorBidi" w:hAnsiTheme="minorBidi"/>
          <w:b/>
          <w:bCs/>
          <w:sz w:val="24"/>
          <w:szCs w:val="24"/>
        </w:rPr>
      </w:pPr>
      <w:r w:rsidRPr="00867F48">
        <w:rPr>
          <w:rFonts w:asciiTheme="minorBidi" w:hAnsiTheme="minorBidi"/>
          <w:b/>
          <w:bCs/>
          <w:sz w:val="24"/>
          <w:szCs w:val="24"/>
        </w:rPr>
        <w:t>R</w:t>
      </w:r>
      <w:r w:rsidR="00521A22" w:rsidRPr="00867F48">
        <w:rPr>
          <w:rFonts w:asciiTheme="minorBidi" w:hAnsiTheme="minorBidi"/>
          <w:b/>
          <w:bCs/>
          <w:sz w:val="24"/>
          <w:szCs w:val="24"/>
        </w:rPr>
        <w:t>ecoveries loans and leases</w:t>
      </w:r>
    </w:p>
    <w:p w14:paraId="2F526536" w14:textId="5EECA6E5" w:rsidR="00521A22" w:rsidRPr="00521A22" w:rsidRDefault="00521A22" w:rsidP="00521A22">
      <w:pPr>
        <w:rPr>
          <w:rFonts w:asciiTheme="minorBidi" w:hAnsiTheme="minorBidi"/>
          <w:sz w:val="24"/>
          <w:szCs w:val="24"/>
        </w:rPr>
      </w:pPr>
      <w:r w:rsidRPr="00521A22">
        <w:rPr>
          <w:rFonts w:asciiTheme="minorBidi" w:hAnsiTheme="minorBidi"/>
          <w:sz w:val="24"/>
          <w:szCs w:val="24"/>
        </w:rPr>
        <w:t>At QNB BANK, the bank had a successfully and efficient start as they started to increase their recoveries from 2015 till 2017 until it reached its highest value at 2017 which was the most effective and efficient year among all the other years as at this year the bank could successfully control and handle the risk of collection of creditors but at the end of 2018 till 2019 they started to decline and decrease until it reached its minimum value and cause the bank high creditors and recoveries risks that indicated poor and bad risk management.</w:t>
      </w:r>
    </w:p>
    <w:p w14:paraId="638421CD" w14:textId="77777777" w:rsidR="00867F48" w:rsidRDefault="00521A22" w:rsidP="00867F48">
      <w:pPr>
        <w:rPr>
          <w:rFonts w:asciiTheme="minorBidi" w:hAnsiTheme="minorBidi"/>
          <w:sz w:val="24"/>
          <w:szCs w:val="24"/>
        </w:rPr>
      </w:pPr>
      <w:r w:rsidRPr="00521A22">
        <w:rPr>
          <w:rFonts w:asciiTheme="minorBidi" w:hAnsiTheme="minorBidi"/>
          <w:sz w:val="24"/>
          <w:szCs w:val="24"/>
        </w:rPr>
        <w:t xml:space="preserve">At AAIB BANK, the bank started 2015 with normal rate of recoveries but they declined from 2015 till 2016 and caused less effectiveness of risk management but the bank responded quickly to the error by increasing the recoveries from 2016 till 2017 until they reached the highest value of recoveries which is the most efficient and effective year for performance and risk management but they started to fall and decrease again starting </w:t>
      </w:r>
      <w:r w:rsidRPr="00521A22">
        <w:rPr>
          <w:rFonts w:asciiTheme="minorBidi" w:hAnsiTheme="minorBidi"/>
          <w:sz w:val="24"/>
          <w:szCs w:val="24"/>
        </w:rPr>
        <w:lastRenderedPageBreak/>
        <w:t xml:space="preserve">from 2018 till 2019 until they reached their minimum value which is the worst year and the most inefficient year of performing among the other years </w:t>
      </w:r>
    </w:p>
    <w:p w14:paraId="6255C19A" w14:textId="40D9F457" w:rsidR="00521A22" w:rsidRPr="00867F48" w:rsidRDefault="00867F48" w:rsidP="00867F48">
      <w:pPr>
        <w:pStyle w:val="ListParagraph"/>
        <w:numPr>
          <w:ilvl w:val="0"/>
          <w:numId w:val="19"/>
        </w:numPr>
        <w:rPr>
          <w:rFonts w:asciiTheme="minorBidi" w:hAnsiTheme="minorBidi"/>
          <w:sz w:val="24"/>
          <w:szCs w:val="24"/>
        </w:rPr>
      </w:pPr>
      <w:r w:rsidRPr="00867F48">
        <w:rPr>
          <w:rFonts w:asciiTheme="minorBidi" w:hAnsiTheme="minorBidi"/>
          <w:b/>
          <w:bCs/>
          <w:sz w:val="24"/>
          <w:szCs w:val="24"/>
        </w:rPr>
        <w:t>T</w:t>
      </w:r>
      <w:r w:rsidR="00521A22" w:rsidRPr="00867F48">
        <w:rPr>
          <w:rFonts w:asciiTheme="minorBidi" w:hAnsiTheme="minorBidi"/>
          <w:b/>
          <w:bCs/>
          <w:sz w:val="24"/>
          <w:szCs w:val="24"/>
        </w:rPr>
        <w:t>otal loans / total deposits</w:t>
      </w:r>
    </w:p>
    <w:p w14:paraId="0EF12756"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QNB BANK, the bank loans and deposits amounts or values was decreasing from 2015 till 2018  and its peak amount year was 2015 which  was the highest year  of loans and deposits amounts in both banks which made the bank loans much riskier but more attractive with much more higher quality that could easily attract investors and this year indicated good risk management control but they started to decrease their risk by decreases the other banks borrowing and loans from 2015 till 2018 and then they started to raise again in 2019 by increasing the borrowing over 100%  to increase the deposits of loans to their clients to increase in return the quality of loans and the bank profit. And this indicates good risk control performance in managing the balance between borrowing and deposits of loans to gain profit. </w:t>
      </w:r>
    </w:p>
    <w:p w14:paraId="547EC16B"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AT AAIB BANK, the bank loans and deposits amount decreased from its peak value at 2015 till its minimum value at 2018 causing the bank a huge loss as this decreased the quality of loans and the amount of deposited loans which means the banks profit and made the bank increase the borrowings from other banks to increase their assets or loans since the performance is normal but the management made some improvement to balance the deposits with borrowing so they made an increase in 2019 </w:t>
      </w:r>
    </w:p>
    <w:p w14:paraId="1DCF0209" w14:textId="5F61A71B" w:rsidR="00521A22" w:rsidRPr="00867F48" w:rsidRDefault="00867F48" w:rsidP="00867F48">
      <w:pPr>
        <w:pStyle w:val="ListParagraph"/>
        <w:numPr>
          <w:ilvl w:val="0"/>
          <w:numId w:val="19"/>
        </w:numPr>
        <w:rPr>
          <w:rFonts w:asciiTheme="minorBidi" w:hAnsiTheme="minorBidi"/>
          <w:b/>
          <w:bCs/>
          <w:sz w:val="24"/>
          <w:szCs w:val="24"/>
        </w:rPr>
      </w:pPr>
      <w:r w:rsidRPr="00867F48">
        <w:rPr>
          <w:rFonts w:asciiTheme="minorBidi" w:hAnsiTheme="minorBidi"/>
          <w:b/>
          <w:bCs/>
          <w:sz w:val="24"/>
          <w:szCs w:val="24"/>
        </w:rPr>
        <w:t>L</w:t>
      </w:r>
      <w:r w:rsidR="00521A22" w:rsidRPr="00867F48">
        <w:rPr>
          <w:rFonts w:asciiTheme="minorBidi" w:hAnsiTheme="minorBidi"/>
          <w:b/>
          <w:bCs/>
          <w:sz w:val="24"/>
          <w:szCs w:val="24"/>
        </w:rPr>
        <w:t>oans/investments</w:t>
      </w:r>
    </w:p>
    <w:p w14:paraId="298DD6C8" w14:textId="77777777" w:rsidR="00521A22" w:rsidRPr="00521A22" w:rsidRDefault="00521A22" w:rsidP="00521A22">
      <w:pPr>
        <w:rPr>
          <w:rFonts w:asciiTheme="minorBidi" w:hAnsiTheme="minorBidi"/>
          <w:sz w:val="24"/>
          <w:szCs w:val="24"/>
        </w:rPr>
      </w:pPr>
      <w:r w:rsidRPr="00521A22">
        <w:rPr>
          <w:rFonts w:asciiTheme="minorBidi" w:hAnsiTheme="minorBidi"/>
          <w:sz w:val="24"/>
          <w:szCs w:val="24"/>
        </w:rPr>
        <w:t xml:space="preserve"> AT QNB BANK, from2015 till 2017 the amounts of loans to investments was increasing gradually until it reached its peak or the highest value and then it reduced or decreased </w:t>
      </w:r>
      <w:r w:rsidRPr="00521A22">
        <w:rPr>
          <w:rFonts w:asciiTheme="minorBidi" w:hAnsiTheme="minorBidi"/>
          <w:sz w:val="24"/>
          <w:szCs w:val="24"/>
        </w:rPr>
        <w:lastRenderedPageBreak/>
        <w:t xml:space="preserve">back from 2018 till 2019 which caused the bank to loss profit as this indicates that the bank depends only on loans for profits and not investments that could make the bank gain more profit so, the bank should increase their investments activities in order in grow or expand. </w:t>
      </w:r>
    </w:p>
    <w:p w14:paraId="4FDB7184" w14:textId="41758362" w:rsidR="009F01B4" w:rsidRPr="00521A22" w:rsidRDefault="009F01B4" w:rsidP="009F01B4">
      <w:pPr>
        <w:rPr>
          <w:rFonts w:asciiTheme="minorBidi" w:hAnsiTheme="minorBidi"/>
          <w:sz w:val="24"/>
          <w:szCs w:val="24"/>
        </w:rPr>
      </w:pPr>
    </w:p>
    <w:p w14:paraId="1FB8A1AD" w14:textId="02F1BCE4" w:rsidR="009F01B4" w:rsidRPr="009F01B4" w:rsidRDefault="009F01B4" w:rsidP="009F01B4">
      <w:r>
        <w:br w:type="page"/>
      </w:r>
    </w:p>
    <w:p w14:paraId="592851E9" w14:textId="49A2C064" w:rsidR="00111F31" w:rsidRPr="009F01B4" w:rsidRDefault="005D1530" w:rsidP="009F01B4">
      <w:pPr>
        <w:pStyle w:val="Heading1"/>
        <w:jc w:val="center"/>
        <w:rPr>
          <w:rFonts w:asciiTheme="minorBidi" w:eastAsia="Arial" w:hAnsiTheme="minorBidi" w:cstheme="minorBidi"/>
          <w:b/>
          <w:bCs/>
          <w:color w:val="FF0000"/>
          <w:sz w:val="36"/>
          <w:szCs w:val="36"/>
        </w:rPr>
      </w:pPr>
      <w:bookmarkStart w:id="21" w:name="_Toc59103042"/>
      <w:r w:rsidRPr="009F01B4">
        <w:rPr>
          <w:rFonts w:asciiTheme="minorBidi" w:eastAsiaTheme="minorHAnsi" w:hAnsiTheme="minorBidi" w:cstheme="minorBidi"/>
          <w:b/>
          <w:bCs/>
          <w:color w:val="FF0000"/>
          <w:sz w:val="36"/>
          <w:szCs w:val="36"/>
          <w:lang w:bidi="ar-EG"/>
        </w:rPr>
        <w:lastRenderedPageBreak/>
        <w:t>Conclusion and Recommendation</w:t>
      </w:r>
      <w:bookmarkEnd w:id="21"/>
    </w:p>
    <w:p w14:paraId="756BFD95" w14:textId="03E03A4A" w:rsidR="005D1530" w:rsidRPr="005D1530" w:rsidRDefault="005D1530" w:rsidP="005D1530">
      <w:pPr>
        <w:rPr>
          <w:rFonts w:asciiTheme="minorBidi" w:hAnsiTheme="minorBidi"/>
          <w:sz w:val="24"/>
          <w:szCs w:val="24"/>
          <w:lang w:bidi="ar-EG"/>
        </w:rPr>
      </w:pPr>
      <w:r w:rsidRPr="005D1530">
        <w:rPr>
          <w:rFonts w:asciiTheme="minorBidi" w:hAnsiTheme="minorBidi"/>
          <w:sz w:val="24"/>
          <w:szCs w:val="24"/>
          <w:lang w:bidi="ar-EG"/>
        </w:rPr>
        <w:t xml:space="preserve">In conclusion, AAIB bank is better in performing than QNB bank </w:t>
      </w:r>
      <w:r w:rsidR="009F01B4" w:rsidRPr="005D1530">
        <w:rPr>
          <w:rFonts w:asciiTheme="minorBidi" w:hAnsiTheme="minorBidi"/>
          <w:sz w:val="24"/>
          <w:szCs w:val="24"/>
          <w:lang w:bidi="ar-EG"/>
        </w:rPr>
        <w:t>and</w:t>
      </w:r>
      <w:r w:rsidRPr="005D1530">
        <w:rPr>
          <w:rFonts w:asciiTheme="minorBidi" w:hAnsiTheme="minorBidi"/>
          <w:sz w:val="24"/>
          <w:szCs w:val="24"/>
          <w:lang w:bidi="ar-EG"/>
        </w:rPr>
        <w:t xml:space="preserve"> </w:t>
      </w:r>
      <w:proofErr w:type="gramStart"/>
      <w:r w:rsidRPr="005D1530">
        <w:rPr>
          <w:rFonts w:asciiTheme="minorBidi" w:hAnsiTheme="minorBidi"/>
          <w:sz w:val="24"/>
          <w:szCs w:val="24"/>
          <w:lang w:bidi="ar-EG"/>
        </w:rPr>
        <w:t>both of them</w:t>
      </w:r>
      <w:proofErr w:type="gramEnd"/>
      <w:r w:rsidRPr="005D1530">
        <w:rPr>
          <w:rFonts w:asciiTheme="minorBidi" w:hAnsiTheme="minorBidi"/>
          <w:sz w:val="24"/>
          <w:szCs w:val="24"/>
          <w:lang w:bidi="ar-EG"/>
        </w:rPr>
        <w:t xml:space="preserve"> has good issues in a specific point and weakness in a specific point. First, AANB bank converts assets into net earnings, control the expense management and focuses more on the net interest income. While QNB bank didn’t perform well in converting assets into net earnings, inefficient in expense management and it focuses on the net non-interest income rather than interest income to get revenues. There are many types of risk management. </w:t>
      </w:r>
      <w:r w:rsidR="009F01B4" w:rsidRPr="005D1530">
        <w:rPr>
          <w:rFonts w:asciiTheme="minorBidi" w:hAnsiTheme="minorBidi"/>
          <w:sz w:val="24"/>
          <w:szCs w:val="24"/>
          <w:lang w:bidi="ar-EG"/>
        </w:rPr>
        <w:t>Both banks</w:t>
      </w:r>
      <w:r w:rsidRPr="005D1530">
        <w:rPr>
          <w:rFonts w:asciiTheme="minorBidi" w:hAnsiTheme="minorBidi"/>
          <w:sz w:val="24"/>
          <w:szCs w:val="24"/>
          <w:lang w:bidi="ar-EG"/>
        </w:rPr>
        <w:t xml:space="preserve"> are interested in a highly manner on loans and this leads to getting interest rather than investments but if </w:t>
      </w:r>
      <w:proofErr w:type="gramStart"/>
      <w:r w:rsidRPr="005D1530">
        <w:rPr>
          <w:rFonts w:asciiTheme="minorBidi" w:hAnsiTheme="minorBidi"/>
          <w:sz w:val="24"/>
          <w:szCs w:val="24"/>
          <w:lang w:bidi="ar-EG"/>
        </w:rPr>
        <w:t>both of them</w:t>
      </w:r>
      <w:proofErr w:type="gramEnd"/>
      <w:r w:rsidRPr="005D1530">
        <w:rPr>
          <w:rFonts w:asciiTheme="minorBidi" w:hAnsiTheme="minorBidi"/>
          <w:sz w:val="24"/>
          <w:szCs w:val="24"/>
          <w:lang w:bidi="ar-EG"/>
        </w:rPr>
        <w:t xml:space="preserve"> concentrate on investments, the problems will decrease in liquidity. In the risk management. the credit risk, in which AAIB was more effective than QNB in handling risks related to provisions, charge-offs, recoveries, and allowances for doubtful loan losses. QNB was riskier, but it has a better-quality loan and is more attractive to investors. Additionally, it generates more profits by borrowing from other banks to increase its assets. It also depends more on loans more than investments in generating profits. However, AAIB is better in managing collection risks. In the overall risk, QNB is better in managing the standard deviation of ROE, but AAIB is better in managing the standard deviation of ROA. </w:t>
      </w:r>
    </w:p>
    <w:p w14:paraId="17C5B6A1" w14:textId="37CB7CC7" w:rsidR="005D1530" w:rsidRDefault="005D1530" w:rsidP="005D1530">
      <w:pPr>
        <w:rPr>
          <w:rFonts w:asciiTheme="minorBidi" w:hAnsiTheme="minorBidi"/>
          <w:sz w:val="24"/>
          <w:szCs w:val="24"/>
          <w:lang w:bidi="ar-EG"/>
        </w:rPr>
      </w:pPr>
      <w:r w:rsidRPr="005D1530">
        <w:rPr>
          <w:rFonts w:asciiTheme="minorBidi" w:hAnsiTheme="minorBidi"/>
          <w:sz w:val="24"/>
          <w:szCs w:val="24"/>
          <w:lang w:bidi="ar-EG"/>
        </w:rPr>
        <w:t>In the relative interest sensitive gap, AAIB and QNB banks need to monitor regularly the increasing or decreasing the interest rate, to make the assets more sensitive in increasing the interest market to take an advantage. While, in low market rates the banks need to make a liability relative interest sensitive gap to avoid risks and In the credit risk, The two  banks should focus more on investments the same as loans and this is for generating more profits and for attracting the investors.</w:t>
      </w:r>
    </w:p>
    <w:bookmarkStart w:id="22" w:name="_Toc59103043" w:displacedByCustomXml="next"/>
    <w:sdt>
      <w:sdtPr>
        <w:rPr>
          <w:rFonts w:asciiTheme="minorBidi" w:eastAsiaTheme="minorHAnsi" w:hAnsiTheme="minorBidi" w:cstheme="minorBidi"/>
          <w:b/>
          <w:bCs/>
          <w:color w:val="FF0000"/>
          <w:sz w:val="36"/>
          <w:szCs w:val="36"/>
        </w:rPr>
        <w:id w:val="-181898662"/>
        <w:docPartObj>
          <w:docPartGallery w:val="Bibliographies"/>
          <w:docPartUnique/>
        </w:docPartObj>
      </w:sdtPr>
      <w:sdtEndPr>
        <w:rPr>
          <w:rFonts w:asciiTheme="minorHAnsi" w:hAnsiTheme="minorHAnsi"/>
          <w:b w:val="0"/>
          <w:bCs w:val="0"/>
          <w:color w:val="auto"/>
          <w:sz w:val="22"/>
          <w:szCs w:val="22"/>
        </w:rPr>
      </w:sdtEndPr>
      <w:sdtContent>
        <w:p w14:paraId="501854AE" w14:textId="3BB06EBB" w:rsidR="00867F48" w:rsidRPr="00867F48" w:rsidRDefault="00867F48" w:rsidP="00867F48">
          <w:pPr>
            <w:pStyle w:val="Heading1"/>
            <w:jc w:val="center"/>
            <w:rPr>
              <w:rFonts w:asciiTheme="minorBidi" w:hAnsiTheme="minorBidi" w:cstheme="minorBidi"/>
              <w:b/>
              <w:bCs/>
              <w:color w:val="FF0000"/>
              <w:sz w:val="36"/>
              <w:szCs w:val="36"/>
            </w:rPr>
          </w:pPr>
          <w:r w:rsidRPr="00867F48">
            <w:rPr>
              <w:rFonts w:asciiTheme="minorBidi" w:hAnsiTheme="minorBidi" w:cstheme="minorBidi"/>
              <w:b/>
              <w:bCs/>
              <w:color w:val="FF0000"/>
              <w:sz w:val="36"/>
              <w:szCs w:val="36"/>
            </w:rPr>
            <w:t>References</w:t>
          </w:r>
          <w:bookmarkEnd w:id="22"/>
        </w:p>
        <w:sdt>
          <w:sdtPr>
            <w:id w:val="-573587230"/>
            <w:bibliography/>
          </w:sdtPr>
          <w:sdtEndPr/>
          <w:sdtContent>
            <w:p w14:paraId="0027D8EA" w14:textId="77777777" w:rsidR="00867F48" w:rsidRPr="00867F48" w:rsidRDefault="00867F48" w:rsidP="00867F48">
              <w:pPr>
                <w:pStyle w:val="Bibliography"/>
                <w:ind w:left="720" w:hanging="720"/>
                <w:rPr>
                  <w:rFonts w:asciiTheme="minorBidi" w:hAnsiTheme="minorBidi"/>
                  <w:noProof/>
                  <w:sz w:val="28"/>
                  <w:szCs w:val="28"/>
                </w:rPr>
              </w:pPr>
              <w:r w:rsidRPr="00867F48">
                <w:rPr>
                  <w:rFonts w:asciiTheme="minorBidi" w:hAnsiTheme="minorBidi"/>
                  <w:sz w:val="24"/>
                  <w:szCs w:val="24"/>
                </w:rPr>
                <w:fldChar w:fldCharType="begin"/>
              </w:r>
              <w:r w:rsidRPr="00867F48">
                <w:rPr>
                  <w:rFonts w:asciiTheme="minorBidi" w:hAnsiTheme="minorBidi"/>
                  <w:sz w:val="24"/>
                  <w:szCs w:val="24"/>
                </w:rPr>
                <w:instrText xml:space="preserve"> BIBLIOGRAPHY </w:instrText>
              </w:r>
              <w:r w:rsidRPr="00867F48">
                <w:rPr>
                  <w:rFonts w:asciiTheme="minorBidi" w:hAnsiTheme="minorBidi"/>
                  <w:sz w:val="24"/>
                  <w:szCs w:val="24"/>
                </w:rPr>
                <w:fldChar w:fldCharType="separate"/>
              </w:r>
              <w:r w:rsidRPr="00867F48">
                <w:rPr>
                  <w:rFonts w:asciiTheme="minorBidi" w:hAnsiTheme="minorBidi"/>
                  <w:noProof/>
                  <w:sz w:val="24"/>
                  <w:szCs w:val="24"/>
                </w:rPr>
                <w:t>(n.d.). Retrieved from otlob: https://www.otlob.com/egypt/about-us</w:t>
              </w:r>
            </w:p>
            <w:p w14:paraId="13B937C4"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otlob: https://www.otlob.com/egypt/contact-us</w:t>
              </w:r>
            </w:p>
            <w:p w14:paraId="439D1ADE"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Owler: https://www.owler.com/company/otlob</w:t>
              </w:r>
            </w:p>
            <w:p w14:paraId="7D1C957C"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QNB: https://www.qnb.com/sites/qnb/qnbglobal/page/en/enhistory.html</w:t>
              </w:r>
            </w:p>
            <w:p w14:paraId="4C9FBC78"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QNB ALAHLI: https://www.qnbalahli.com/sites/qnb/qnbegypt/page/en/enoverview.html</w:t>
              </w:r>
            </w:p>
            <w:p w14:paraId="270E1C57"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AAIB: https://aaib.com/en/categories/About-AAIB</w:t>
              </w:r>
            </w:p>
            <w:p w14:paraId="6361F9CA"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cambridge dictionary: https://dictionary.cambridge.org/dictionary/english/return-on-assets</w:t>
              </w:r>
            </w:p>
            <w:p w14:paraId="40B89F76"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(n.d.). Retrieved from cambridge dictionary: https://dictionary.cambridge.org/dictionary/english/return-on-equity</w:t>
              </w:r>
            </w:p>
            <w:p w14:paraId="05CA4CFC"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(2015). Retrieved from CBE: https://www.cbe.org.eg/_layouts/download.aspx?SourceUrl=%2Fen%2FEconomicResearch%2FPublications%2FAnnualReportDL%2FAnnual%20Report2014-2015.pdf</w:t>
              </w:r>
            </w:p>
            <w:p w14:paraId="3CF80E3A"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(2018). Retrieved from Addis Ababa University: http://etd.aau.edu.et/bitstream/handle/123456789/13753/Anteneh%20Teshome.pdf?sequence=1&amp;isAllowed=y</w:t>
              </w:r>
            </w:p>
            <w:p w14:paraId="1346A722"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lastRenderedPageBreak/>
                <w:t>(2019). Retrieved from CBE: https://www.cbe.org.eg/en/BankingSupervision/Pages/Strategy.aspx#:~:text=The%20Egyptian%20Banking%20sector%20is,of%2030%2F6%2F2009</w:t>
              </w:r>
            </w:p>
            <w:p w14:paraId="18867196"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i/>
                  <w:iCs/>
                  <w:noProof/>
                  <w:sz w:val="24"/>
                  <w:szCs w:val="24"/>
                </w:rPr>
                <w:t>About Otlob</w:t>
              </w:r>
              <w:r w:rsidRPr="00867F48">
                <w:rPr>
                  <w:rFonts w:asciiTheme="minorBidi" w:hAnsiTheme="minorBidi"/>
                  <w:noProof/>
                  <w:sz w:val="24"/>
                  <w:szCs w:val="24"/>
                </w:rPr>
                <w:t>. (n.d.). Retrieved from Otlob: https://www.otlob.com/egypt/about-us</w:t>
              </w:r>
            </w:p>
            <w:p w14:paraId="78C03DBD"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i/>
                  <w:iCs/>
                  <w:noProof/>
                  <w:sz w:val="24"/>
                  <w:szCs w:val="24"/>
                </w:rPr>
                <w:t>Annual report .</w:t>
              </w:r>
              <w:r w:rsidRPr="00867F48">
                <w:rPr>
                  <w:rFonts w:asciiTheme="minorBidi" w:hAnsiTheme="minorBidi"/>
                  <w:noProof/>
                  <w:sz w:val="24"/>
                  <w:szCs w:val="24"/>
                </w:rPr>
                <w:t xml:space="preserve"> (2016). Retrieved from QNB AL AHLI: https://www.qnbalahli.com/sites/Satellite?blobcol=urldata&amp;blobkey=id&amp;blobtable=MungoBlobs&amp;blobwhere=1562664728521&amp;ssbinary=true</w:t>
              </w:r>
            </w:p>
            <w:p w14:paraId="020D68FC"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i/>
                  <w:iCs/>
                  <w:noProof/>
                  <w:sz w:val="24"/>
                  <w:szCs w:val="24"/>
                </w:rPr>
                <w:t>Annual report.</w:t>
              </w:r>
              <w:r w:rsidRPr="00867F48">
                <w:rPr>
                  <w:rFonts w:asciiTheme="minorBidi" w:hAnsiTheme="minorBidi"/>
                  <w:noProof/>
                  <w:sz w:val="24"/>
                  <w:szCs w:val="24"/>
                </w:rPr>
                <w:t xml:space="preserve"> (2018). Retrieved from QNB ALAHLI: https://www.qnbalahli.com/sites/qnb/qnbegypt/document/en/enAnnualReport2018</w:t>
              </w:r>
            </w:p>
            <w:p w14:paraId="57813F9F"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i/>
                  <w:iCs/>
                  <w:noProof/>
                  <w:sz w:val="24"/>
                  <w:szCs w:val="24"/>
                </w:rPr>
                <w:t>Annual report.</w:t>
              </w:r>
              <w:r w:rsidRPr="00867F48">
                <w:rPr>
                  <w:rFonts w:asciiTheme="minorBidi" w:hAnsiTheme="minorBidi"/>
                  <w:noProof/>
                  <w:sz w:val="24"/>
                  <w:szCs w:val="24"/>
                </w:rPr>
                <w:t xml:space="preserve"> (2019). Retrieved from QNB ALAHLI : https://www.qnbalahli.com/sites/qnb/qnbegypt/document/en/enAnnualReport2019</w:t>
              </w:r>
            </w:p>
            <w:p w14:paraId="147299D2"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 xml:space="preserve">Demetris Vrontis , Akis Thrassou. (2006). situation analyisis and stratigic planning : an empirical case study in the UK Beverage industry. </w:t>
              </w:r>
              <w:r w:rsidRPr="00867F48">
                <w:rPr>
                  <w:rFonts w:asciiTheme="minorBidi" w:hAnsiTheme="minorBidi"/>
                  <w:i/>
                  <w:iCs/>
                  <w:noProof/>
                  <w:sz w:val="24"/>
                  <w:szCs w:val="24"/>
                </w:rPr>
                <w:t>innovative marketing</w:t>
              </w:r>
              <w:r w:rsidRPr="00867F48">
                <w:rPr>
                  <w:rFonts w:asciiTheme="minorBidi" w:hAnsiTheme="minorBidi"/>
                  <w:noProof/>
                  <w:sz w:val="24"/>
                  <w:szCs w:val="24"/>
                </w:rPr>
                <w:t>, 133-152.</w:t>
              </w:r>
            </w:p>
            <w:p w14:paraId="0B83DCB7"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 xml:space="preserve">Emet Gurel , Merba Tal. (2017). Swot analysis: A theoretical review . </w:t>
              </w:r>
              <w:r w:rsidRPr="00867F48">
                <w:rPr>
                  <w:rFonts w:asciiTheme="minorBidi" w:hAnsiTheme="minorBidi"/>
                  <w:i/>
                  <w:iCs/>
                  <w:noProof/>
                  <w:sz w:val="24"/>
                  <w:szCs w:val="24"/>
                </w:rPr>
                <w:t>international social research</w:t>
              </w:r>
              <w:r w:rsidRPr="00867F48">
                <w:rPr>
                  <w:rFonts w:asciiTheme="minorBidi" w:hAnsiTheme="minorBidi"/>
                  <w:noProof/>
                  <w:sz w:val="24"/>
                  <w:szCs w:val="24"/>
                </w:rPr>
                <w:t>, 994-1007.</w:t>
              </w:r>
            </w:p>
            <w:p w14:paraId="5CB720A3"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 xml:space="preserve">gattorna, M. c. (2005). </w:t>
              </w:r>
              <w:r w:rsidRPr="00867F48">
                <w:rPr>
                  <w:rFonts w:asciiTheme="minorBidi" w:hAnsiTheme="minorBidi"/>
                  <w:i/>
                  <w:iCs/>
                  <w:noProof/>
                  <w:sz w:val="24"/>
                  <w:szCs w:val="24"/>
                </w:rPr>
                <w:t>supply chain cost management and value based pricing.</w:t>
              </w:r>
              <w:r w:rsidRPr="00867F48">
                <w:rPr>
                  <w:rFonts w:asciiTheme="minorBidi" w:hAnsiTheme="minorBidi"/>
                  <w:noProof/>
                  <w:sz w:val="24"/>
                  <w:szCs w:val="24"/>
                </w:rPr>
                <w:t xml:space="preserve"> industrial marketing management.</w:t>
              </w:r>
            </w:p>
            <w:p w14:paraId="786BE3FB"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 xml:space="preserve">Kotler, p. a. (2012). </w:t>
              </w:r>
              <w:r w:rsidRPr="00867F48">
                <w:rPr>
                  <w:rFonts w:asciiTheme="minorBidi" w:hAnsiTheme="minorBidi"/>
                  <w:i/>
                  <w:iCs/>
                  <w:noProof/>
                  <w:sz w:val="24"/>
                  <w:szCs w:val="24"/>
                </w:rPr>
                <w:t>marketing magament.</w:t>
              </w:r>
              <w:r w:rsidRPr="00867F48">
                <w:rPr>
                  <w:rFonts w:asciiTheme="minorBidi" w:hAnsiTheme="minorBidi"/>
                  <w:noProof/>
                  <w:sz w:val="24"/>
                  <w:szCs w:val="24"/>
                </w:rPr>
                <w:t xml:space="preserve"> pearson.</w:t>
              </w:r>
            </w:p>
            <w:p w14:paraId="5E15FB0F"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lastRenderedPageBreak/>
                <w:t xml:space="preserve">lee, h. (2002). </w:t>
              </w:r>
              <w:r w:rsidRPr="00867F48">
                <w:rPr>
                  <w:rFonts w:asciiTheme="minorBidi" w:hAnsiTheme="minorBidi"/>
                  <w:i/>
                  <w:iCs/>
                  <w:noProof/>
                  <w:sz w:val="24"/>
                  <w:szCs w:val="24"/>
                </w:rPr>
                <w:t>aligning supply chain strategies with product uncertainities.</w:t>
              </w:r>
              <w:r w:rsidRPr="00867F48">
                <w:rPr>
                  <w:rFonts w:asciiTheme="minorBidi" w:hAnsiTheme="minorBidi"/>
                  <w:noProof/>
                  <w:sz w:val="24"/>
                  <w:szCs w:val="24"/>
                </w:rPr>
                <w:t xml:space="preserve"> california management review.</w:t>
              </w:r>
            </w:p>
            <w:p w14:paraId="0C4D576D"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 xml:space="preserve">Marshall, g. w. (2019). </w:t>
              </w:r>
              <w:r w:rsidRPr="00867F48">
                <w:rPr>
                  <w:rFonts w:asciiTheme="minorBidi" w:hAnsiTheme="minorBidi"/>
                  <w:i/>
                  <w:iCs/>
                  <w:noProof/>
                  <w:sz w:val="24"/>
                  <w:szCs w:val="24"/>
                </w:rPr>
                <w:t>Marketing management 3rd edition.</w:t>
              </w:r>
              <w:r w:rsidRPr="00867F48">
                <w:rPr>
                  <w:rFonts w:asciiTheme="minorBidi" w:hAnsiTheme="minorBidi"/>
                  <w:noProof/>
                  <w:sz w:val="24"/>
                  <w:szCs w:val="24"/>
                </w:rPr>
                <w:t xml:space="preserve"> mcgraw hill education.</w:t>
              </w:r>
            </w:p>
            <w:p w14:paraId="0E1FB66F"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McGee, J. (2014). differentiation strategies. 1-4.</w:t>
              </w:r>
            </w:p>
            <w:p w14:paraId="71A67EE3"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Moore, K. (2013, November 14). Retrieved from KGMoore: https://www.kgmoore.co.uk/strategy-tools-use-the-ansoff-matrix-for-evaluating-growth-opportunities/</w:t>
              </w:r>
            </w:p>
            <w:p w14:paraId="1B5EBE02"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Mustafa. (2019, October 27). Retrieved from Ahram: http://english.ahram.org.eg/NewsContent/3/12/354747/Business/Economy/Spains-Glovo-targets--of-Egypt-online-delivery-ser.aspx</w:t>
              </w:r>
            </w:p>
            <w:p w14:paraId="1CAC09CD"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i/>
                  <w:iCs/>
                  <w:noProof/>
                  <w:sz w:val="24"/>
                  <w:szCs w:val="24"/>
                </w:rPr>
                <w:t>otlob</w:t>
              </w:r>
              <w:r w:rsidRPr="00867F48">
                <w:rPr>
                  <w:rFonts w:asciiTheme="minorBidi" w:hAnsiTheme="minorBidi"/>
                  <w:noProof/>
                  <w:sz w:val="24"/>
                  <w:szCs w:val="24"/>
                </w:rPr>
                <w:t>. (n.d.). Retrieved from http://otlob.store/</w:t>
              </w:r>
            </w:p>
            <w:p w14:paraId="0F00C45C" w14:textId="77777777" w:rsidR="00867F48" w:rsidRPr="00867F48" w:rsidRDefault="00867F48" w:rsidP="00867F48">
              <w:pPr>
                <w:pStyle w:val="Bibliography"/>
                <w:ind w:left="720" w:hanging="720"/>
                <w:rPr>
                  <w:rFonts w:asciiTheme="minorBidi" w:hAnsiTheme="minorBidi"/>
                  <w:noProof/>
                  <w:sz w:val="24"/>
                  <w:szCs w:val="24"/>
                </w:rPr>
              </w:pPr>
              <w:r w:rsidRPr="00867F48">
                <w:rPr>
                  <w:rFonts w:asciiTheme="minorBidi" w:hAnsiTheme="minorBidi"/>
                  <w:noProof/>
                  <w:sz w:val="24"/>
                  <w:szCs w:val="24"/>
                </w:rPr>
                <w:t xml:space="preserve">p.kalafatis, s. (2000). positioning strategies in business markets. </w:t>
              </w:r>
              <w:r w:rsidRPr="00867F48">
                <w:rPr>
                  <w:rFonts w:asciiTheme="minorBidi" w:hAnsiTheme="minorBidi"/>
                  <w:i/>
                  <w:iCs/>
                  <w:noProof/>
                  <w:sz w:val="24"/>
                  <w:szCs w:val="24"/>
                </w:rPr>
                <w:t>business and industrial marketing</w:t>
              </w:r>
              <w:r w:rsidRPr="00867F48">
                <w:rPr>
                  <w:rFonts w:asciiTheme="minorBidi" w:hAnsiTheme="minorBidi"/>
                  <w:noProof/>
                  <w:sz w:val="24"/>
                  <w:szCs w:val="24"/>
                </w:rPr>
                <w:t>, 416-437.</w:t>
              </w:r>
            </w:p>
            <w:p w14:paraId="507582CF" w14:textId="3DECACDD" w:rsidR="00867F48" w:rsidRDefault="00867F48" w:rsidP="00867F48">
              <w:r w:rsidRPr="00867F48">
                <w:rPr>
                  <w:rFonts w:asciiTheme="minorBidi" w:hAnsiTheme="minorBidi"/>
                  <w:b/>
                  <w:bCs/>
                  <w:noProof/>
                  <w:sz w:val="24"/>
                  <w:szCs w:val="24"/>
                </w:rPr>
                <w:fldChar w:fldCharType="end"/>
              </w:r>
            </w:p>
          </w:sdtContent>
        </w:sdt>
      </w:sdtContent>
    </w:sdt>
    <w:p w14:paraId="147EB31D" w14:textId="77777777" w:rsidR="00867F48" w:rsidRPr="005D1530" w:rsidRDefault="00867F48" w:rsidP="005D1530">
      <w:pPr>
        <w:rPr>
          <w:rFonts w:asciiTheme="minorBidi" w:hAnsiTheme="minorBidi"/>
          <w:sz w:val="24"/>
          <w:szCs w:val="24"/>
          <w:lang w:bidi="ar-EG"/>
        </w:rPr>
      </w:pPr>
    </w:p>
    <w:sectPr w:rsidR="00867F48" w:rsidRPr="005D1530" w:rsidSect="00240835">
      <w:headerReference w:type="default" r:id="rId47"/>
      <w:footerReference w:type="default" r:id="rId48"/>
      <w:headerReference w:type="first" r:id="rId49"/>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625C7" w14:textId="77777777" w:rsidR="00FE136F" w:rsidRDefault="00FE136F" w:rsidP="00240835">
      <w:pPr>
        <w:spacing w:after="0" w:line="240" w:lineRule="auto"/>
      </w:pPr>
      <w:r>
        <w:separator/>
      </w:r>
    </w:p>
  </w:endnote>
  <w:endnote w:type="continuationSeparator" w:id="0">
    <w:p w14:paraId="1144D668" w14:textId="77777777" w:rsidR="00FE136F" w:rsidRDefault="00FE136F" w:rsidP="00240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Helvetica Light">
    <w:altName w:val="Arial Nova Light"/>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sz w:val="24"/>
        <w:szCs w:val="24"/>
      </w:rPr>
      <w:id w:val="577019082"/>
      <w:docPartObj>
        <w:docPartGallery w:val="Page Numbers (Bottom of Page)"/>
        <w:docPartUnique/>
      </w:docPartObj>
    </w:sdtPr>
    <w:sdtEndPr/>
    <w:sdtContent>
      <w:sdt>
        <w:sdtPr>
          <w:rPr>
            <w:b/>
            <w:bCs/>
            <w:sz w:val="24"/>
            <w:szCs w:val="24"/>
          </w:rPr>
          <w:id w:val="1728636285"/>
          <w:docPartObj>
            <w:docPartGallery w:val="Page Numbers (Top of Page)"/>
            <w:docPartUnique/>
          </w:docPartObj>
        </w:sdtPr>
        <w:sdtEndPr/>
        <w:sdtContent>
          <w:p w14:paraId="1A497C26" w14:textId="1818F9C2" w:rsidR="00AA0DFF" w:rsidRPr="00240835" w:rsidRDefault="00AA0DFF">
            <w:pPr>
              <w:pStyle w:val="Footer"/>
              <w:jc w:val="center"/>
              <w:rPr>
                <w:b/>
                <w:bCs/>
                <w:sz w:val="24"/>
                <w:szCs w:val="24"/>
              </w:rPr>
            </w:pPr>
            <w:r w:rsidRPr="00240835">
              <w:rPr>
                <w:b/>
                <w:bCs/>
                <w:sz w:val="24"/>
                <w:szCs w:val="24"/>
              </w:rPr>
              <w:t xml:space="preserve">Page </w:t>
            </w:r>
            <w:r w:rsidRPr="00240835">
              <w:rPr>
                <w:b/>
                <w:bCs/>
                <w:sz w:val="28"/>
                <w:szCs w:val="28"/>
              </w:rPr>
              <w:fldChar w:fldCharType="begin"/>
            </w:r>
            <w:r w:rsidRPr="00240835">
              <w:rPr>
                <w:b/>
                <w:bCs/>
                <w:sz w:val="24"/>
                <w:szCs w:val="24"/>
              </w:rPr>
              <w:instrText xml:space="preserve"> PAGE </w:instrText>
            </w:r>
            <w:r w:rsidRPr="00240835">
              <w:rPr>
                <w:b/>
                <w:bCs/>
                <w:sz w:val="28"/>
                <w:szCs w:val="28"/>
              </w:rPr>
              <w:fldChar w:fldCharType="separate"/>
            </w:r>
            <w:r w:rsidRPr="00240835">
              <w:rPr>
                <w:b/>
                <w:bCs/>
                <w:noProof/>
                <w:sz w:val="24"/>
                <w:szCs w:val="24"/>
              </w:rPr>
              <w:t>2</w:t>
            </w:r>
            <w:r w:rsidRPr="00240835">
              <w:rPr>
                <w:b/>
                <w:bCs/>
                <w:sz w:val="28"/>
                <w:szCs w:val="28"/>
              </w:rPr>
              <w:fldChar w:fldCharType="end"/>
            </w:r>
            <w:r w:rsidRPr="00240835">
              <w:rPr>
                <w:b/>
                <w:bCs/>
                <w:sz w:val="24"/>
                <w:szCs w:val="24"/>
              </w:rPr>
              <w:t xml:space="preserve"> of </w:t>
            </w:r>
            <w:r w:rsidRPr="00240835">
              <w:rPr>
                <w:b/>
                <w:bCs/>
                <w:sz w:val="28"/>
                <w:szCs w:val="28"/>
              </w:rPr>
              <w:fldChar w:fldCharType="begin"/>
            </w:r>
            <w:r w:rsidRPr="00240835">
              <w:rPr>
                <w:b/>
                <w:bCs/>
                <w:sz w:val="24"/>
                <w:szCs w:val="24"/>
              </w:rPr>
              <w:instrText xml:space="preserve"> NUMPAGES  </w:instrText>
            </w:r>
            <w:r w:rsidRPr="00240835">
              <w:rPr>
                <w:b/>
                <w:bCs/>
                <w:sz w:val="28"/>
                <w:szCs w:val="28"/>
              </w:rPr>
              <w:fldChar w:fldCharType="separate"/>
            </w:r>
            <w:r w:rsidRPr="00240835">
              <w:rPr>
                <w:b/>
                <w:bCs/>
                <w:noProof/>
                <w:sz w:val="24"/>
                <w:szCs w:val="24"/>
              </w:rPr>
              <w:t>2</w:t>
            </w:r>
            <w:r w:rsidRPr="00240835">
              <w:rPr>
                <w:b/>
                <w:bCs/>
                <w:sz w:val="28"/>
                <w:szCs w:val="28"/>
              </w:rPr>
              <w:fldChar w:fldCharType="end"/>
            </w:r>
          </w:p>
        </w:sdtContent>
      </w:sdt>
    </w:sdtContent>
  </w:sdt>
  <w:p w14:paraId="389D26D8" w14:textId="77777777" w:rsidR="00AA0DFF" w:rsidRDefault="00AA0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9518C" w14:textId="77777777" w:rsidR="00FE136F" w:rsidRDefault="00FE136F" w:rsidP="00240835">
      <w:pPr>
        <w:spacing w:after="0" w:line="240" w:lineRule="auto"/>
      </w:pPr>
      <w:r>
        <w:separator/>
      </w:r>
    </w:p>
  </w:footnote>
  <w:footnote w:type="continuationSeparator" w:id="0">
    <w:p w14:paraId="2D67FA25" w14:textId="77777777" w:rsidR="00FE136F" w:rsidRDefault="00FE136F" w:rsidP="00240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67ECF" w14:textId="5667AF33" w:rsidR="00AA0DFF" w:rsidRDefault="00AA0DFF">
    <w:pPr>
      <w:pStyle w:val="Header"/>
    </w:pPr>
    <w:r>
      <w:rPr>
        <w:noProof/>
      </w:rPr>
      <w:drawing>
        <wp:anchor distT="0" distB="0" distL="114300" distR="114300" simplePos="0" relativeHeight="251658240" behindDoc="0" locked="0" layoutInCell="1" allowOverlap="1" wp14:anchorId="62B9237F" wp14:editId="15B392C5">
          <wp:simplePos x="0" y="0"/>
          <wp:positionH relativeFrom="column">
            <wp:posOffset>-533400</wp:posOffset>
          </wp:positionH>
          <wp:positionV relativeFrom="paragraph">
            <wp:posOffset>-76200</wp:posOffset>
          </wp:positionV>
          <wp:extent cx="1304925" cy="533400"/>
          <wp:effectExtent l="0" t="0" r="9525" b="0"/>
          <wp:wrapThrough wrapText="bothSides">
            <wp:wrapPolygon edited="0">
              <wp:start x="0" y="3857"/>
              <wp:lineTo x="0" y="14657"/>
              <wp:lineTo x="2523" y="17743"/>
              <wp:lineTo x="15766" y="17743"/>
              <wp:lineTo x="21127" y="16200"/>
              <wp:lineTo x="21442" y="15429"/>
              <wp:lineTo x="21442" y="3857"/>
              <wp:lineTo x="0" y="3857"/>
            </wp:wrapPolygon>
          </wp:wrapThrough>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E-Logo.png"/>
                  <pic:cNvPicPr/>
                </pic:nvPicPr>
                <pic:blipFill>
                  <a:blip r:embed="rId1">
                    <a:extLst>
                      <a:ext uri="{28A0092B-C50C-407E-A947-70E740481C1C}">
                        <a14:useLocalDpi xmlns:a14="http://schemas.microsoft.com/office/drawing/2010/main" val="0"/>
                      </a:ext>
                    </a:extLst>
                  </a:blip>
                  <a:stretch>
                    <a:fillRect/>
                  </a:stretch>
                </pic:blipFill>
                <pic:spPr>
                  <a:xfrm>
                    <a:off x="0" y="0"/>
                    <a:ext cx="1304925" cy="533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5D58BD055A394CB887EF2010AB2D2AAD"/>
      </w:placeholder>
      <w:temporary/>
      <w:showingPlcHdr/>
      <w15:appearance w15:val="hidden"/>
    </w:sdtPr>
    <w:sdtEndPr/>
    <w:sdtContent>
      <w:p w14:paraId="102A5C00" w14:textId="77777777" w:rsidR="00AA0DFF" w:rsidRDefault="00AA0DFF">
        <w:pPr>
          <w:pStyle w:val="Header"/>
        </w:pPr>
        <w:r>
          <w:t>[Type here]</w:t>
        </w:r>
      </w:p>
    </w:sdtContent>
  </w:sdt>
  <w:p w14:paraId="003059F1" w14:textId="77777777" w:rsidR="00AA0DFF" w:rsidRDefault="00AA0D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81E78"/>
    <w:multiLevelType w:val="hybridMultilevel"/>
    <w:tmpl w:val="E83CD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A57F0"/>
    <w:multiLevelType w:val="hybridMultilevel"/>
    <w:tmpl w:val="CD527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0191B"/>
    <w:multiLevelType w:val="hybridMultilevel"/>
    <w:tmpl w:val="A7668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083488"/>
    <w:multiLevelType w:val="hybridMultilevel"/>
    <w:tmpl w:val="80A81230"/>
    <w:lvl w:ilvl="0" w:tplc="A0E27136">
      <w:start w:val="1"/>
      <w:numFmt w:val="decimal"/>
      <w:lvlText w:val="%1."/>
      <w:lvlJc w:val="left"/>
      <w:pPr>
        <w:ind w:left="360" w:hanging="360"/>
      </w:pPr>
      <w:rPr>
        <w:rFonts w:ascii="Arial" w:eastAsia="Calibri" w:hAnsi="Arial" w:cs="Arial"/>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56B0656"/>
    <w:multiLevelType w:val="hybridMultilevel"/>
    <w:tmpl w:val="7766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F7DB4"/>
    <w:multiLevelType w:val="hybridMultilevel"/>
    <w:tmpl w:val="7D20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E52E1"/>
    <w:multiLevelType w:val="hybridMultilevel"/>
    <w:tmpl w:val="C33C6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66BDA"/>
    <w:multiLevelType w:val="hybridMultilevel"/>
    <w:tmpl w:val="8EA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BC4C39"/>
    <w:multiLevelType w:val="hybridMultilevel"/>
    <w:tmpl w:val="EDB8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C123B8"/>
    <w:multiLevelType w:val="hybridMultilevel"/>
    <w:tmpl w:val="1AF80FF0"/>
    <w:lvl w:ilvl="0" w:tplc="9DBCC9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7C1821"/>
    <w:multiLevelType w:val="hybridMultilevel"/>
    <w:tmpl w:val="8E6C72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75A11"/>
    <w:multiLevelType w:val="hybridMultilevel"/>
    <w:tmpl w:val="0E7E4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419C8"/>
    <w:multiLevelType w:val="hybridMultilevel"/>
    <w:tmpl w:val="7E1EC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4452E9"/>
    <w:multiLevelType w:val="hybridMultilevel"/>
    <w:tmpl w:val="8716E0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E2F62D7"/>
    <w:multiLevelType w:val="hybridMultilevel"/>
    <w:tmpl w:val="AC5AAC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4F5444"/>
    <w:multiLevelType w:val="hybridMultilevel"/>
    <w:tmpl w:val="184EE11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5451A6A"/>
    <w:multiLevelType w:val="hybridMultilevel"/>
    <w:tmpl w:val="25E662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955AC6"/>
    <w:multiLevelType w:val="hybridMultilevel"/>
    <w:tmpl w:val="C020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8940BFC"/>
    <w:multiLevelType w:val="hybridMultilevel"/>
    <w:tmpl w:val="FAE01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
  </w:num>
  <w:num w:numId="4">
    <w:abstractNumId w:val="13"/>
  </w:num>
  <w:num w:numId="5">
    <w:abstractNumId w:val="17"/>
  </w:num>
  <w:num w:numId="6">
    <w:abstractNumId w:val="4"/>
  </w:num>
  <w:num w:numId="7">
    <w:abstractNumId w:val="7"/>
  </w:num>
  <w:num w:numId="8">
    <w:abstractNumId w:val="8"/>
  </w:num>
  <w:num w:numId="9">
    <w:abstractNumId w:val="16"/>
  </w:num>
  <w:num w:numId="10">
    <w:abstractNumId w:val="10"/>
  </w:num>
  <w:num w:numId="11">
    <w:abstractNumId w:val="0"/>
  </w:num>
  <w:num w:numId="12">
    <w:abstractNumId w:val="12"/>
  </w:num>
  <w:num w:numId="13">
    <w:abstractNumId w:val="5"/>
  </w:num>
  <w:num w:numId="14">
    <w:abstractNumId w:val="14"/>
  </w:num>
  <w:num w:numId="15">
    <w:abstractNumId w:val="6"/>
  </w:num>
  <w:num w:numId="16">
    <w:abstractNumId w:val="18"/>
  </w:num>
  <w:num w:numId="17">
    <w:abstractNumId w:val="9"/>
  </w:num>
  <w:num w:numId="18">
    <w:abstractNumId w:val="1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BB5"/>
    <w:rsid w:val="00071783"/>
    <w:rsid w:val="00111F31"/>
    <w:rsid w:val="00121B25"/>
    <w:rsid w:val="001A16DC"/>
    <w:rsid w:val="001C40C4"/>
    <w:rsid w:val="002206CC"/>
    <w:rsid w:val="00240835"/>
    <w:rsid w:val="00302ECF"/>
    <w:rsid w:val="00376D1C"/>
    <w:rsid w:val="003D0323"/>
    <w:rsid w:val="003D3495"/>
    <w:rsid w:val="003F38A0"/>
    <w:rsid w:val="00443E22"/>
    <w:rsid w:val="004841D6"/>
    <w:rsid w:val="004E4937"/>
    <w:rsid w:val="00521A22"/>
    <w:rsid w:val="00533D9F"/>
    <w:rsid w:val="00537080"/>
    <w:rsid w:val="005631B4"/>
    <w:rsid w:val="005D06CB"/>
    <w:rsid w:val="005D1530"/>
    <w:rsid w:val="0074625F"/>
    <w:rsid w:val="00762331"/>
    <w:rsid w:val="008553CA"/>
    <w:rsid w:val="00867F48"/>
    <w:rsid w:val="00885B91"/>
    <w:rsid w:val="0089399F"/>
    <w:rsid w:val="008A7F13"/>
    <w:rsid w:val="008C29EC"/>
    <w:rsid w:val="008C783C"/>
    <w:rsid w:val="00982F2E"/>
    <w:rsid w:val="009F01B4"/>
    <w:rsid w:val="00A24CD7"/>
    <w:rsid w:val="00A4343F"/>
    <w:rsid w:val="00A62006"/>
    <w:rsid w:val="00A75556"/>
    <w:rsid w:val="00AA0DFF"/>
    <w:rsid w:val="00AF1CB5"/>
    <w:rsid w:val="00B173D1"/>
    <w:rsid w:val="00C12870"/>
    <w:rsid w:val="00C207E8"/>
    <w:rsid w:val="00D0118F"/>
    <w:rsid w:val="00D228EE"/>
    <w:rsid w:val="00DA6FB0"/>
    <w:rsid w:val="00DB5BB5"/>
    <w:rsid w:val="00DC21F7"/>
    <w:rsid w:val="00DD7B32"/>
    <w:rsid w:val="00E97CC8"/>
    <w:rsid w:val="00EB58DB"/>
    <w:rsid w:val="00EE2CCA"/>
    <w:rsid w:val="00F2240B"/>
    <w:rsid w:val="00FE13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3B8AE"/>
  <w15:chartTrackingRefBased/>
  <w15:docId w15:val="{A315FFA6-D729-457F-A6F6-7CBD333C2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11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5BB5"/>
    <w:pPr>
      <w:spacing w:after="0" w:line="240" w:lineRule="auto"/>
    </w:pPr>
    <w:rPr>
      <w:rFonts w:eastAsiaTheme="minorEastAsia"/>
    </w:rPr>
  </w:style>
  <w:style w:type="character" w:customStyle="1" w:styleId="NoSpacingChar">
    <w:name w:val="No Spacing Char"/>
    <w:basedOn w:val="DefaultParagraphFont"/>
    <w:link w:val="NoSpacing"/>
    <w:uiPriority w:val="1"/>
    <w:rsid w:val="00DB5BB5"/>
    <w:rPr>
      <w:rFonts w:eastAsiaTheme="minorEastAsia"/>
    </w:rPr>
  </w:style>
  <w:style w:type="paragraph" w:styleId="Header">
    <w:name w:val="header"/>
    <w:basedOn w:val="Normal"/>
    <w:link w:val="HeaderChar"/>
    <w:uiPriority w:val="99"/>
    <w:unhideWhenUsed/>
    <w:rsid w:val="0024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835"/>
  </w:style>
  <w:style w:type="paragraph" w:styleId="Footer">
    <w:name w:val="footer"/>
    <w:basedOn w:val="Normal"/>
    <w:link w:val="FooterChar"/>
    <w:uiPriority w:val="99"/>
    <w:unhideWhenUsed/>
    <w:rsid w:val="00240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835"/>
  </w:style>
  <w:style w:type="table" w:styleId="TableGrid">
    <w:name w:val="Table Grid"/>
    <w:basedOn w:val="TableNormal"/>
    <w:uiPriority w:val="59"/>
    <w:rsid w:val="00240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D0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A7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7F13"/>
    <w:pPr>
      <w:outlineLvl w:val="9"/>
    </w:pPr>
  </w:style>
  <w:style w:type="character" w:customStyle="1" w:styleId="Heading2Char">
    <w:name w:val="Heading 2 Char"/>
    <w:basedOn w:val="DefaultParagraphFont"/>
    <w:link w:val="Heading2"/>
    <w:uiPriority w:val="9"/>
    <w:rsid w:val="00D0118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173D1"/>
    <w:pPr>
      <w:spacing w:after="100"/>
    </w:pPr>
  </w:style>
  <w:style w:type="paragraph" w:styleId="TOC2">
    <w:name w:val="toc 2"/>
    <w:basedOn w:val="Normal"/>
    <w:next w:val="Normal"/>
    <w:autoRedefine/>
    <w:uiPriority w:val="39"/>
    <w:unhideWhenUsed/>
    <w:rsid w:val="00071783"/>
    <w:pPr>
      <w:tabs>
        <w:tab w:val="left" w:pos="660"/>
        <w:tab w:val="right" w:leader="dot" w:pos="9350"/>
      </w:tabs>
      <w:spacing w:after="100"/>
      <w:ind w:left="220"/>
    </w:pPr>
    <w:rPr>
      <w:rFonts w:ascii="Symbol" w:hAnsi="Symbol"/>
      <w:noProof/>
      <w:color w:val="000000" w:themeColor="text1"/>
    </w:rPr>
  </w:style>
  <w:style w:type="character" w:styleId="Hyperlink">
    <w:name w:val="Hyperlink"/>
    <w:basedOn w:val="DefaultParagraphFont"/>
    <w:uiPriority w:val="99"/>
    <w:unhideWhenUsed/>
    <w:rsid w:val="00B173D1"/>
    <w:rPr>
      <w:color w:val="0563C1" w:themeColor="hyperlink"/>
      <w:u w:val="single"/>
    </w:rPr>
  </w:style>
  <w:style w:type="paragraph" w:styleId="ListParagraph">
    <w:name w:val="List Paragraph"/>
    <w:basedOn w:val="Normal"/>
    <w:uiPriority w:val="34"/>
    <w:qFormat/>
    <w:rsid w:val="00533D9F"/>
    <w:pPr>
      <w:ind w:left="720"/>
      <w:contextualSpacing/>
    </w:pPr>
  </w:style>
  <w:style w:type="character" w:customStyle="1" w:styleId="Heading3Char">
    <w:name w:val="Heading 3 Char"/>
    <w:basedOn w:val="DefaultParagraphFont"/>
    <w:link w:val="Heading3"/>
    <w:uiPriority w:val="9"/>
    <w:rsid w:val="00AA0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A0DFF"/>
    <w:pPr>
      <w:spacing w:after="100"/>
      <w:ind w:left="440"/>
    </w:pPr>
  </w:style>
  <w:style w:type="paragraph" w:styleId="Bibliography">
    <w:name w:val="Bibliography"/>
    <w:basedOn w:val="Normal"/>
    <w:next w:val="Normal"/>
    <w:uiPriority w:val="37"/>
    <w:unhideWhenUsed/>
    <w:rsid w:val="008C783C"/>
  </w:style>
  <w:style w:type="paragraph" w:customStyle="1" w:styleId="Body">
    <w:name w:val="Body"/>
    <w:rsid w:val="00885B91"/>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Label">
    <w:name w:val="Label"/>
    <w:rsid w:val="00885B91"/>
    <w:pPr>
      <w:pBdr>
        <w:top w:val="nil"/>
        <w:left w:val="nil"/>
        <w:bottom w:val="nil"/>
        <w:right w:val="nil"/>
        <w:between w:val="nil"/>
        <w:bar w:val="nil"/>
      </w:pBdr>
      <w:spacing w:after="0" w:line="240" w:lineRule="auto"/>
      <w:jc w:val="center"/>
    </w:pPr>
    <w:rPr>
      <w:rFonts w:ascii="Helvetica" w:eastAsia="Arial Unicode MS" w:hAnsi="Helvetica" w:cs="Arial Unicode MS"/>
      <w:color w:val="FEFEFE"/>
      <w:sz w:val="24"/>
      <w:szCs w:val="24"/>
      <w:bdr w:val="nil"/>
      <w14:shadow w14:blurRad="50800" w14:dist="35991" w14:dir="2700000" w14:sx="100000" w14:sy="100000" w14:kx="0" w14:ky="0" w14:algn="tl">
        <w14:srgbClr w14:val="000000">
          <w14:alpha w14:val="68965"/>
        </w14:srgbClr>
      </w14:shadow>
    </w:rPr>
  </w:style>
  <w:style w:type="paragraph" w:customStyle="1" w:styleId="LabelDark">
    <w:name w:val="Label Dark"/>
    <w:rsid w:val="00885B91"/>
    <w:pPr>
      <w:pBdr>
        <w:top w:val="nil"/>
        <w:left w:val="nil"/>
        <w:bottom w:val="nil"/>
        <w:right w:val="nil"/>
        <w:between w:val="nil"/>
        <w:bar w:val="nil"/>
      </w:pBdr>
      <w:spacing w:after="0" w:line="240" w:lineRule="auto"/>
      <w:jc w:val="center"/>
    </w:pPr>
    <w:rPr>
      <w:rFonts w:ascii="Helvetica Light" w:eastAsia="Arial Unicode MS" w:hAnsi="Helvetica Light" w:cs="Arial Unicode MS"/>
      <w:color w:val="000000"/>
      <w:sz w:val="24"/>
      <w:szCs w:val="24"/>
      <w:bdr w:val="nil"/>
    </w:rPr>
  </w:style>
  <w:style w:type="paragraph" w:customStyle="1" w:styleId="js-first-margin">
    <w:name w:val="js-first-margin"/>
    <w:basedOn w:val="Normal"/>
    <w:rsid w:val="00111F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95512">
      <w:bodyDiv w:val="1"/>
      <w:marLeft w:val="0"/>
      <w:marRight w:val="0"/>
      <w:marTop w:val="0"/>
      <w:marBottom w:val="0"/>
      <w:divBdr>
        <w:top w:val="none" w:sz="0" w:space="0" w:color="auto"/>
        <w:left w:val="none" w:sz="0" w:space="0" w:color="auto"/>
        <w:bottom w:val="none" w:sz="0" w:space="0" w:color="auto"/>
        <w:right w:val="none" w:sz="0" w:space="0" w:color="auto"/>
      </w:divBdr>
    </w:div>
    <w:div w:id="92939924">
      <w:bodyDiv w:val="1"/>
      <w:marLeft w:val="0"/>
      <w:marRight w:val="0"/>
      <w:marTop w:val="0"/>
      <w:marBottom w:val="0"/>
      <w:divBdr>
        <w:top w:val="none" w:sz="0" w:space="0" w:color="auto"/>
        <w:left w:val="none" w:sz="0" w:space="0" w:color="auto"/>
        <w:bottom w:val="none" w:sz="0" w:space="0" w:color="auto"/>
        <w:right w:val="none" w:sz="0" w:space="0" w:color="auto"/>
      </w:divBdr>
    </w:div>
    <w:div w:id="232010707">
      <w:bodyDiv w:val="1"/>
      <w:marLeft w:val="0"/>
      <w:marRight w:val="0"/>
      <w:marTop w:val="0"/>
      <w:marBottom w:val="0"/>
      <w:divBdr>
        <w:top w:val="none" w:sz="0" w:space="0" w:color="auto"/>
        <w:left w:val="none" w:sz="0" w:space="0" w:color="auto"/>
        <w:bottom w:val="none" w:sz="0" w:space="0" w:color="auto"/>
        <w:right w:val="none" w:sz="0" w:space="0" w:color="auto"/>
      </w:divBdr>
    </w:div>
    <w:div w:id="261030399">
      <w:bodyDiv w:val="1"/>
      <w:marLeft w:val="0"/>
      <w:marRight w:val="0"/>
      <w:marTop w:val="0"/>
      <w:marBottom w:val="0"/>
      <w:divBdr>
        <w:top w:val="none" w:sz="0" w:space="0" w:color="auto"/>
        <w:left w:val="none" w:sz="0" w:space="0" w:color="auto"/>
        <w:bottom w:val="none" w:sz="0" w:space="0" w:color="auto"/>
        <w:right w:val="none" w:sz="0" w:space="0" w:color="auto"/>
      </w:divBdr>
    </w:div>
    <w:div w:id="422724334">
      <w:bodyDiv w:val="1"/>
      <w:marLeft w:val="0"/>
      <w:marRight w:val="0"/>
      <w:marTop w:val="0"/>
      <w:marBottom w:val="0"/>
      <w:divBdr>
        <w:top w:val="none" w:sz="0" w:space="0" w:color="auto"/>
        <w:left w:val="none" w:sz="0" w:space="0" w:color="auto"/>
        <w:bottom w:val="none" w:sz="0" w:space="0" w:color="auto"/>
        <w:right w:val="none" w:sz="0" w:space="0" w:color="auto"/>
      </w:divBdr>
    </w:div>
    <w:div w:id="468981357">
      <w:bodyDiv w:val="1"/>
      <w:marLeft w:val="0"/>
      <w:marRight w:val="0"/>
      <w:marTop w:val="0"/>
      <w:marBottom w:val="0"/>
      <w:divBdr>
        <w:top w:val="none" w:sz="0" w:space="0" w:color="auto"/>
        <w:left w:val="none" w:sz="0" w:space="0" w:color="auto"/>
        <w:bottom w:val="none" w:sz="0" w:space="0" w:color="auto"/>
        <w:right w:val="none" w:sz="0" w:space="0" w:color="auto"/>
      </w:divBdr>
    </w:div>
    <w:div w:id="572660997">
      <w:bodyDiv w:val="1"/>
      <w:marLeft w:val="0"/>
      <w:marRight w:val="0"/>
      <w:marTop w:val="0"/>
      <w:marBottom w:val="0"/>
      <w:divBdr>
        <w:top w:val="none" w:sz="0" w:space="0" w:color="auto"/>
        <w:left w:val="none" w:sz="0" w:space="0" w:color="auto"/>
        <w:bottom w:val="none" w:sz="0" w:space="0" w:color="auto"/>
        <w:right w:val="none" w:sz="0" w:space="0" w:color="auto"/>
      </w:divBdr>
    </w:div>
    <w:div w:id="600844802">
      <w:bodyDiv w:val="1"/>
      <w:marLeft w:val="0"/>
      <w:marRight w:val="0"/>
      <w:marTop w:val="0"/>
      <w:marBottom w:val="0"/>
      <w:divBdr>
        <w:top w:val="none" w:sz="0" w:space="0" w:color="auto"/>
        <w:left w:val="none" w:sz="0" w:space="0" w:color="auto"/>
        <w:bottom w:val="none" w:sz="0" w:space="0" w:color="auto"/>
        <w:right w:val="none" w:sz="0" w:space="0" w:color="auto"/>
      </w:divBdr>
    </w:div>
    <w:div w:id="616788749">
      <w:bodyDiv w:val="1"/>
      <w:marLeft w:val="0"/>
      <w:marRight w:val="0"/>
      <w:marTop w:val="0"/>
      <w:marBottom w:val="0"/>
      <w:divBdr>
        <w:top w:val="none" w:sz="0" w:space="0" w:color="auto"/>
        <w:left w:val="none" w:sz="0" w:space="0" w:color="auto"/>
        <w:bottom w:val="none" w:sz="0" w:space="0" w:color="auto"/>
        <w:right w:val="none" w:sz="0" w:space="0" w:color="auto"/>
      </w:divBdr>
    </w:div>
    <w:div w:id="672995377">
      <w:bodyDiv w:val="1"/>
      <w:marLeft w:val="0"/>
      <w:marRight w:val="0"/>
      <w:marTop w:val="0"/>
      <w:marBottom w:val="0"/>
      <w:divBdr>
        <w:top w:val="none" w:sz="0" w:space="0" w:color="auto"/>
        <w:left w:val="none" w:sz="0" w:space="0" w:color="auto"/>
        <w:bottom w:val="none" w:sz="0" w:space="0" w:color="auto"/>
        <w:right w:val="none" w:sz="0" w:space="0" w:color="auto"/>
      </w:divBdr>
    </w:div>
    <w:div w:id="1048334206">
      <w:bodyDiv w:val="1"/>
      <w:marLeft w:val="0"/>
      <w:marRight w:val="0"/>
      <w:marTop w:val="0"/>
      <w:marBottom w:val="0"/>
      <w:divBdr>
        <w:top w:val="none" w:sz="0" w:space="0" w:color="auto"/>
        <w:left w:val="none" w:sz="0" w:space="0" w:color="auto"/>
        <w:bottom w:val="none" w:sz="0" w:space="0" w:color="auto"/>
        <w:right w:val="none" w:sz="0" w:space="0" w:color="auto"/>
      </w:divBdr>
    </w:div>
    <w:div w:id="1087725945">
      <w:bodyDiv w:val="1"/>
      <w:marLeft w:val="0"/>
      <w:marRight w:val="0"/>
      <w:marTop w:val="0"/>
      <w:marBottom w:val="0"/>
      <w:divBdr>
        <w:top w:val="none" w:sz="0" w:space="0" w:color="auto"/>
        <w:left w:val="none" w:sz="0" w:space="0" w:color="auto"/>
        <w:bottom w:val="none" w:sz="0" w:space="0" w:color="auto"/>
        <w:right w:val="none" w:sz="0" w:space="0" w:color="auto"/>
      </w:divBdr>
    </w:div>
    <w:div w:id="1193764708">
      <w:bodyDiv w:val="1"/>
      <w:marLeft w:val="0"/>
      <w:marRight w:val="0"/>
      <w:marTop w:val="0"/>
      <w:marBottom w:val="0"/>
      <w:divBdr>
        <w:top w:val="none" w:sz="0" w:space="0" w:color="auto"/>
        <w:left w:val="none" w:sz="0" w:space="0" w:color="auto"/>
        <w:bottom w:val="none" w:sz="0" w:space="0" w:color="auto"/>
        <w:right w:val="none" w:sz="0" w:space="0" w:color="auto"/>
      </w:divBdr>
    </w:div>
    <w:div w:id="1456294436">
      <w:bodyDiv w:val="1"/>
      <w:marLeft w:val="0"/>
      <w:marRight w:val="0"/>
      <w:marTop w:val="0"/>
      <w:marBottom w:val="0"/>
      <w:divBdr>
        <w:top w:val="none" w:sz="0" w:space="0" w:color="auto"/>
        <w:left w:val="none" w:sz="0" w:space="0" w:color="auto"/>
        <w:bottom w:val="none" w:sz="0" w:space="0" w:color="auto"/>
        <w:right w:val="none" w:sz="0" w:space="0" w:color="auto"/>
      </w:divBdr>
    </w:div>
    <w:div w:id="1578662554">
      <w:bodyDiv w:val="1"/>
      <w:marLeft w:val="0"/>
      <w:marRight w:val="0"/>
      <w:marTop w:val="0"/>
      <w:marBottom w:val="0"/>
      <w:divBdr>
        <w:top w:val="none" w:sz="0" w:space="0" w:color="auto"/>
        <w:left w:val="none" w:sz="0" w:space="0" w:color="auto"/>
        <w:bottom w:val="none" w:sz="0" w:space="0" w:color="auto"/>
        <w:right w:val="none" w:sz="0" w:space="0" w:color="auto"/>
      </w:divBdr>
    </w:div>
    <w:div w:id="1644697045">
      <w:bodyDiv w:val="1"/>
      <w:marLeft w:val="0"/>
      <w:marRight w:val="0"/>
      <w:marTop w:val="0"/>
      <w:marBottom w:val="0"/>
      <w:divBdr>
        <w:top w:val="none" w:sz="0" w:space="0" w:color="auto"/>
        <w:left w:val="none" w:sz="0" w:space="0" w:color="auto"/>
        <w:bottom w:val="none" w:sz="0" w:space="0" w:color="auto"/>
        <w:right w:val="none" w:sz="0" w:space="0" w:color="auto"/>
      </w:divBdr>
    </w:div>
    <w:div w:id="1721786695">
      <w:bodyDiv w:val="1"/>
      <w:marLeft w:val="0"/>
      <w:marRight w:val="0"/>
      <w:marTop w:val="0"/>
      <w:marBottom w:val="0"/>
      <w:divBdr>
        <w:top w:val="none" w:sz="0" w:space="0" w:color="auto"/>
        <w:left w:val="none" w:sz="0" w:space="0" w:color="auto"/>
        <w:bottom w:val="none" w:sz="0" w:space="0" w:color="auto"/>
        <w:right w:val="none" w:sz="0" w:space="0" w:color="auto"/>
      </w:divBdr>
    </w:div>
    <w:div w:id="1766262383">
      <w:bodyDiv w:val="1"/>
      <w:marLeft w:val="0"/>
      <w:marRight w:val="0"/>
      <w:marTop w:val="0"/>
      <w:marBottom w:val="0"/>
      <w:divBdr>
        <w:top w:val="none" w:sz="0" w:space="0" w:color="auto"/>
        <w:left w:val="none" w:sz="0" w:space="0" w:color="auto"/>
        <w:bottom w:val="none" w:sz="0" w:space="0" w:color="auto"/>
        <w:right w:val="none" w:sz="0" w:space="0" w:color="auto"/>
      </w:divBdr>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
    <w:div w:id="1790275019">
      <w:bodyDiv w:val="1"/>
      <w:marLeft w:val="0"/>
      <w:marRight w:val="0"/>
      <w:marTop w:val="0"/>
      <w:marBottom w:val="0"/>
      <w:divBdr>
        <w:top w:val="none" w:sz="0" w:space="0" w:color="auto"/>
        <w:left w:val="none" w:sz="0" w:space="0" w:color="auto"/>
        <w:bottom w:val="none" w:sz="0" w:space="0" w:color="auto"/>
        <w:right w:val="none" w:sz="0" w:space="0" w:color="auto"/>
      </w:divBdr>
    </w:div>
    <w:div w:id="1855802717">
      <w:bodyDiv w:val="1"/>
      <w:marLeft w:val="0"/>
      <w:marRight w:val="0"/>
      <w:marTop w:val="0"/>
      <w:marBottom w:val="0"/>
      <w:divBdr>
        <w:top w:val="none" w:sz="0" w:space="0" w:color="auto"/>
        <w:left w:val="none" w:sz="0" w:space="0" w:color="auto"/>
        <w:bottom w:val="none" w:sz="0" w:space="0" w:color="auto"/>
        <w:right w:val="none" w:sz="0" w:space="0" w:color="auto"/>
      </w:divBdr>
    </w:div>
    <w:div w:id="1869904021">
      <w:bodyDiv w:val="1"/>
      <w:marLeft w:val="0"/>
      <w:marRight w:val="0"/>
      <w:marTop w:val="0"/>
      <w:marBottom w:val="0"/>
      <w:divBdr>
        <w:top w:val="none" w:sz="0" w:space="0" w:color="auto"/>
        <w:left w:val="none" w:sz="0" w:space="0" w:color="auto"/>
        <w:bottom w:val="none" w:sz="0" w:space="0" w:color="auto"/>
        <w:right w:val="none" w:sz="0" w:space="0" w:color="auto"/>
      </w:divBdr>
    </w:div>
    <w:div w:id="1915431140">
      <w:bodyDiv w:val="1"/>
      <w:marLeft w:val="0"/>
      <w:marRight w:val="0"/>
      <w:marTop w:val="0"/>
      <w:marBottom w:val="0"/>
      <w:divBdr>
        <w:top w:val="none" w:sz="0" w:space="0" w:color="auto"/>
        <w:left w:val="none" w:sz="0" w:space="0" w:color="auto"/>
        <w:bottom w:val="none" w:sz="0" w:space="0" w:color="auto"/>
        <w:right w:val="none" w:sz="0" w:space="0" w:color="auto"/>
      </w:divBdr>
    </w:div>
    <w:div w:id="1943608547">
      <w:bodyDiv w:val="1"/>
      <w:marLeft w:val="0"/>
      <w:marRight w:val="0"/>
      <w:marTop w:val="0"/>
      <w:marBottom w:val="0"/>
      <w:divBdr>
        <w:top w:val="none" w:sz="0" w:space="0" w:color="auto"/>
        <w:left w:val="none" w:sz="0" w:space="0" w:color="auto"/>
        <w:bottom w:val="none" w:sz="0" w:space="0" w:color="auto"/>
        <w:right w:val="none" w:sz="0" w:space="0" w:color="auto"/>
      </w:divBdr>
    </w:div>
    <w:div w:id="1947813326">
      <w:bodyDiv w:val="1"/>
      <w:marLeft w:val="0"/>
      <w:marRight w:val="0"/>
      <w:marTop w:val="0"/>
      <w:marBottom w:val="0"/>
      <w:divBdr>
        <w:top w:val="none" w:sz="0" w:space="0" w:color="auto"/>
        <w:left w:val="none" w:sz="0" w:space="0" w:color="auto"/>
        <w:bottom w:val="none" w:sz="0" w:space="0" w:color="auto"/>
        <w:right w:val="none" w:sz="0" w:space="0" w:color="auto"/>
      </w:divBdr>
    </w:div>
    <w:div w:id="207403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chart" Target="charts/chart32.xml"/><Relationship Id="rId3" Type="http://schemas.openxmlformats.org/officeDocument/2006/relationships/styles" Target="styles.xml"/><Relationship Id="rId21" Type="http://schemas.openxmlformats.org/officeDocument/2006/relationships/chart" Target="charts/chart14.xml"/><Relationship Id="rId34" Type="http://schemas.openxmlformats.org/officeDocument/2006/relationships/chart" Target="charts/chart27.xml"/><Relationship Id="rId42" Type="http://schemas.openxmlformats.org/officeDocument/2006/relationships/chart" Target="charts/chart35.xm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6.xml"/><Relationship Id="rId38" Type="http://schemas.openxmlformats.org/officeDocument/2006/relationships/chart" Target="charts/chart31.xml"/><Relationship Id="rId46"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chart" Target="charts/chart22.xml"/><Relationship Id="rId41" Type="http://schemas.openxmlformats.org/officeDocument/2006/relationships/chart" Target="charts/chart3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5.xml"/><Relationship Id="rId37" Type="http://schemas.openxmlformats.org/officeDocument/2006/relationships/chart" Target="charts/chart30.xml"/><Relationship Id="rId40" Type="http://schemas.openxmlformats.org/officeDocument/2006/relationships/chart" Target="charts/chart33.xml"/><Relationship Id="rId45"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chart" Target="charts/chart29.xml"/><Relationship Id="rId49" Type="http://schemas.openxmlformats.org/officeDocument/2006/relationships/header" Target="header2.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4.xml"/><Relationship Id="rId44" Type="http://schemas.openxmlformats.org/officeDocument/2006/relationships/image" Target="media/image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8.xml"/><Relationship Id="rId43" Type="http://schemas.openxmlformats.org/officeDocument/2006/relationships/image" Target="media/image1.png"/><Relationship Id="rId48" Type="http://schemas.openxmlformats.org/officeDocument/2006/relationships/footer" Target="footer1.xml"/><Relationship Id="rId8" Type="http://schemas.openxmlformats.org/officeDocument/2006/relationships/chart" Target="charts/chart1.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8.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embeddings/oleObject9.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2.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embeddings/oleObject10.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HP\Downloads\final%20(2).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3.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4.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5.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6.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7.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embeddings/oleObject2.bin"/></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8.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9.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10.xlsx"/></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package" Target="../embeddings/Microsoft_Excel_Worksheet11.xlsx"/></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12.xlsx"/></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13.xlsx"/></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package" Target="../embeddings/Microsoft_Excel_Worksheet14.xlsx"/></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package" Target="../embeddings/Microsoft_Excel_Worksheet15.xlsx"/></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package" Target="../embeddings/Microsoft_Excel_Worksheet16.xlsx"/></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package" Target="../embeddings/Microsoft_Excel_Worksheet17.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embeddings/oleObject3.bin"/></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package" Target="../embeddings/Microsoft_Excel_Worksheet18.xlsx"/></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package" Target="../embeddings/Microsoft_Excel_Worksheet19.xlsx"/></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package" Target="../embeddings/Microsoft_Excel_Worksheet20.xlsx"/></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package" Target="../embeddings/Microsoft_Excel_Worksheet21.xlsx"/></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package" Target="../embeddings/Microsoft_Excel_Worksheet22.xlsx"/></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package" Target="../embeddings/Microsoft_Excel_Worksheet23.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4.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5.bin"/></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6.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7.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Return on Assets (ROA)</a:t>
            </a:r>
          </a:p>
        </c:rich>
      </c:tx>
      <c:layout>
        <c:manualLayout>
          <c:xMode val="edge"/>
          <c:yMode val="edge"/>
          <c:x val="0.30217344706911631"/>
          <c:y val="6.9444444444444448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ratios'!$B$50:$F$50</c:f>
              <c:numCache>
                <c:formatCode>General</c:formatCode>
                <c:ptCount val="5"/>
                <c:pt idx="0">
                  <c:v>2015</c:v>
                </c:pt>
                <c:pt idx="1">
                  <c:v>2016</c:v>
                </c:pt>
                <c:pt idx="2">
                  <c:v>2017</c:v>
                </c:pt>
                <c:pt idx="3">
                  <c:v>2018</c:v>
                </c:pt>
                <c:pt idx="4">
                  <c:v>2019</c:v>
                </c:pt>
              </c:numCache>
            </c:numRef>
          </c:cat>
          <c:val>
            <c:numRef>
              <c:f>'[final (2).xlsx]QNB ratios'!$B$51:$F$51</c:f>
              <c:numCache>
                <c:formatCode>0.0%</c:formatCode>
                <c:ptCount val="5"/>
                <c:pt idx="0">
                  <c:v>2.3549633730420291E-2</c:v>
                </c:pt>
                <c:pt idx="1">
                  <c:v>1.4490188736292884E-2</c:v>
                </c:pt>
                <c:pt idx="2">
                  <c:v>2.4104856378129737E-2</c:v>
                </c:pt>
                <c:pt idx="3">
                  <c:v>2.7302886787843674E-2</c:v>
                </c:pt>
                <c:pt idx="4" formatCode="0%">
                  <c:v>3.0944150788128628E-2</c:v>
                </c:pt>
              </c:numCache>
            </c:numRef>
          </c:val>
          <c:smooth val="0"/>
          <c:extLst>
            <c:ext xmlns:c16="http://schemas.microsoft.com/office/drawing/2014/chart" uri="{C3380CC4-5D6E-409C-BE32-E72D297353CC}">
              <c16:uniqueId val="{00000000-ED1A-44BB-921C-751B2CE4B33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09632"/>
        <c:axId val="470004928"/>
      </c:lineChart>
      <c:catAx>
        <c:axId val="4700096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04928"/>
        <c:crosses val="autoZero"/>
        <c:auto val="1"/>
        <c:lblAlgn val="ctr"/>
        <c:lblOffset val="100"/>
        <c:noMultiLvlLbl val="0"/>
      </c:catAx>
      <c:valAx>
        <c:axId val="470004928"/>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0963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Expense Control Management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ratios'!$B$80:$F$80</c:f>
              <c:numCache>
                <c:formatCode>General</c:formatCode>
                <c:ptCount val="5"/>
                <c:pt idx="0">
                  <c:v>2015</c:v>
                </c:pt>
                <c:pt idx="1">
                  <c:v>2016</c:v>
                </c:pt>
                <c:pt idx="2">
                  <c:v>2017</c:v>
                </c:pt>
                <c:pt idx="3">
                  <c:v>2018</c:v>
                </c:pt>
                <c:pt idx="4">
                  <c:v>2019</c:v>
                </c:pt>
              </c:numCache>
            </c:numRef>
          </c:cat>
          <c:val>
            <c:numRef>
              <c:f>'[final (2).xlsx]QNB ratios'!$B$81:$F$81</c:f>
              <c:numCache>
                <c:formatCode>0%</c:formatCode>
                <c:ptCount val="5"/>
                <c:pt idx="0">
                  <c:v>0.65774565118188943</c:v>
                </c:pt>
                <c:pt idx="1">
                  <c:v>0.47995927913084246</c:v>
                </c:pt>
                <c:pt idx="2">
                  <c:v>0.68231181856526135</c:v>
                </c:pt>
                <c:pt idx="3">
                  <c:v>0.73218772012912825</c:v>
                </c:pt>
                <c:pt idx="4">
                  <c:v>0.71754091884052462</c:v>
                </c:pt>
              </c:numCache>
            </c:numRef>
          </c:val>
          <c:smooth val="0"/>
          <c:extLst>
            <c:ext xmlns:c16="http://schemas.microsoft.com/office/drawing/2014/chart" uri="{C3380CC4-5D6E-409C-BE32-E72D297353CC}">
              <c16:uniqueId val="{00000000-1311-4B1D-AEB9-6CC610C0FA9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7864"/>
        <c:axId val="470017080"/>
      </c:lineChart>
      <c:catAx>
        <c:axId val="4700178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7080"/>
        <c:crosses val="autoZero"/>
        <c:auto val="1"/>
        <c:lblAlgn val="ctr"/>
        <c:lblOffset val="100"/>
        <c:noMultiLvlLbl val="0"/>
      </c:catAx>
      <c:valAx>
        <c:axId val="47001708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786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Earnings per share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ratios'!$B$83:$F$83</c:f>
              <c:numCache>
                <c:formatCode>General</c:formatCode>
                <c:ptCount val="5"/>
                <c:pt idx="0">
                  <c:v>2015</c:v>
                </c:pt>
                <c:pt idx="1">
                  <c:v>2016</c:v>
                </c:pt>
                <c:pt idx="2">
                  <c:v>2017</c:v>
                </c:pt>
                <c:pt idx="3">
                  <c:v>2018</c:v>
                </c:pt>
                <c:pt idx="4">
                  <c:v>2019</c:v>
                </c:pt>
              </c:numCache>
            </c:numRef>
          </c:cat>
          <c:val>
            <c:numRef>
              <c:f>'[final (2).xlsx]QNB ratios'!$B$84:$F$84</c:f>
              <c:numCache>
                <c:formatCode>General</c:formatCode>
                <c:ptCount val="5"/>
                <c:pt idx="0" formatCode="#,##0">
                  <c:v>4.28</c:v>
                </c:pt>
                <c:pt idx="1">
                  <c:v>4.05</c:v>
                </c:pt>
                <c:pt idx="2">
                  <c:v>5.34</c:v>
                </c:pt>
                <c:pt idx="3">
                  <c:v>6.34</c:v>
                </c:pt>
                <c:pt idx="4">
                  <c:v>7.63</c:v>
                </c:pt>
              </c:numCache>
            </c:numRef>
          </c:val>
          <c:smooth val="0"/>
          <c:extLst>
            <c:ext xmlns:c16="http://schemas.microsoft.com/office/drawing/2014/chart" uri="{C3380CC4-5D6E-409C-BE32-E72D297353CC}">
              <c16:uniqueId val="{00000000-E6E8-446F-A634-318BB8115FC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09051456"/>
        <c:axId val="409052240"/>
      </c:lineChart>
      <c:catAx>
        <c:axId val="4090514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09052240"/>
        <c:crosses val="autoZero"/>
        <c:auto val="1"/>
        <c:lblAlgn val="ctr"/>
        <c:lblOffset val="100"/>
        <c:noMultiLvlLbl val="0"/>
      </c:catAx>
      <c:valAx>
        <c:axId val="40905224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0905145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ROA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analysis'!$B$65</c:f>
              <c:strCache>
                <c:ptCount val="1"/>
                <c:pt idx="0">
                  <c:v>ROA Country wise (CBE)</c:v>
                </c:pt>
              </c:strCache>
            </c:strRef>
          </c:tx>
          <c:spPr>
            <a:ln w="22225" cap="rnd" cmpd="sng" algn="ctr">
              <a:solidFill>
                <a:schemeClr val="accent1"/>
              </a:solidFill>
              <a:round/>
            </a:ln>
            <a:effectLst/>
          </c:spPr>
          <c:marker>
            <c:symbol val="none"/>
          </c:marker>
          <c:cat>
            <c:numRef>
              <c:f>'Cross-sectional ratios analysis'!$A$66:$A$70</c:f>
              <c:numCache>
                <c:formatCode>General</c:formatCode>
                <c:ptCount val="5"/>
                <c:pt idx="0">
                  <c:v>2015</c:v>
                </c:pt>
                <c:pt idx="1">
                  <c:v>2016</c:v>
                </c:pt>
                <c:pt idx="2">
                  <c:v>2017</c:v>
                </c:pt>
                <c:pt idx="3">
                  <c:v>2018</c:v>
                </c:pt>
                <c:pt idx="4">
                  <c:v>2019</c:v>
                </c:pt>
              </c:numCache>
            </c:numRef>
          </c:cat>
          <c:val>
            <c:numRef>
              <c:f>'Cross-sectional ratios analysis'!$B$66:$B$70</c:f>
              <c:numCache>
                <c:formatCode>General</c:formatCode>
                <c:ptCount val="5"/>
                <c:pt idx="0">
                  <c:v>2.89</c:v>
                </c:pt>
                <c:pt idx="1">
                  <c:v>2</c:v>
                </c:pt>
                <c:pt idx="2">
                  <c:v>1.5</c:v>
                </c:pt>
                <c:pt idx="3">
                  <c:v>1.4</c:v>
                </c:pt>
                <c:pt idx="4">
                  <c:v>1.8</c:v>
                </c:pt>
              </c:numCache>
            </c:numRef>
          </c:val>
          <c:smooth val="0"/>
          <c:extLst>
            <c:ext xmlns:c16="http://schemas.microsoft.com/office/drawing/2014/chart" uri="{C3380CC4-5D6E-409C-BE32-E72D297353CC}">
              <c16:uniqueId val="{00000000-010A-4732-AF71-9B5318E0874F}"/>
            </c:ext>
          </c:extLst>
        </c:ser>
        <c:ser>
          <c:idx val="1"/>
          <c:order val="1"/>
          <c:tx>
            <c:strRef>
              <c:f>'Cross-sectional ratios analysis'!$C$65</c:f>
              <c:strCache>
                <c:ptCount val="1"/>
                <c:pt idx="0">
                  <c:v>ROA QNB bank %</c:v>
                </c:pt>
              </c:strCache>
            </c:strRef>
          </c:tx>
          <c:spPr>
            <a:ln w="22225" cap="rnd" cmpd="sng" algn="ctr">
              <a:solidFill>
                <a:schemeClr val="accent2"/>
              </a:solidFill>
              <a:round/>
            </a:ln>
            <a:effectLst/>
          </c:spPr>
          <c:marker>
            <c:symbol val="none"/>
          </c:marker>
          <c:cat>
            <c:numRef>
              <c:f>'Cross-sectional ratios analysis'!$A$66:$A$70</c:f>
              <c:numCache>
                <c:formatCode>General</c:formatCode>
                <c:ptCount val="5"/>
                <c:pt idx="0">
                  <c:v>2015</c:v>
                </c:pt>
                <c:pt idx="1">
                  <c:v>2016</c:v>
                </c:pt>
                <c:pt idx="2">
                  <c:v>2017</c:v>
                </c:pt>
                <c:pt idx="3">
                  <c:v>2018</c:v>
                </c:pt>
                <c:pt idx="4">
                  <c:v>2019</c:v>
                </c:pt>
              </c:numCache>
            </c:numRef>
          </c:cat>
          <c:val>
            <c:numRef>
              <c:f>'Cross-sectional ratios analysis'!$C$66:$C$70</c:f>
              <c:numCache>
                <c:formatCode>General</c:formatCode>
                <c:ptCount val="5"/>
                <c:pt idx="0">
                  <c:v>2.4</c:v>
                </c:pt>
                <c:pt idx="1">
                  <c:v>1.4</c:v>
                </c:pt>
                <c:pt idx="2">
                  <c:v>2.4</c:v>
                </c:pt>
                <c:pt idx="3">
                  <c:v>2.7</c:v>
                </c:pt>
                <c:pt idx="4">
                  <c:v>3.1</c:v>
                </c:pt>
              </c:numCache>
            </c:numRef>
          </c:val>
          <c:smooth val="0"/>
          <c:extLst>
            <c:ext xmlns:c16="http://schemas.microsoft.com/office/drawing/2014/chart" uri="{C3380CC4-5D6E-409C-BE32-E72D297353CC}">
              <c16:uniqueId val="{00000001-010A-4732-AF71-9B5318E0874F}"/>
            </c:ext>
          </c:extLst>
        </c:ser>
        <c:ser>
          <c:idx val="2"/>
          <c:order val="2"/>
          <c:tx>
            <c:strRef>
              <c:f>'Cross-sectional ratios analysis'!$D$65</c:f>
              <c:strCache>
                <c:ptCount val="1"/>
                <c:pt idx="0">
                  <c:v>ROA AAIB bank %</c:v>
                </c:pt>
              </c:strCache>
            </c:strRef>
          </c:tx>
          <c:spPr>
            <a:ln w="22225" cap="rnd" cmpd="sng" algn="ctr">
              <a:solidFill>
                <a:schemeClr val="accent3"/>
              </a:solidFill>
              <a:round/>
            </a:ln>
            <a:effectLst/>
          </c:spPr>
          <c:marker>
            <c:symbol val="none"/>
          </c:marker>
          <c:cat>
            <c:numRef>
              <c:f>'Cross-sectional ratios analysis'!$A$66:$A$70</c:f>
              <c:numCache>
                <c:formatCode>General</c:formatCode>
                <c:ptCount val="5"/>
                <c:pt idx="0">
                  <c:v>2015</c:v>
                </c:pt>
                <c:pt idx="1">
                  <c:v>2016</c:v>
                </c:pt>
                <c:pt idx="2">
                  <c:v>2017</c:v>
                </c:pt>
                <c:pt idx="3">
                  <c:v>2018</c:v>
                </c:pt>
                <c:pt idx="4">
                  <c:v>2019</c:v>
                </c:pt>
              </c:numCache>
            </c:numRef>
          </c:cat>
          <c:val>
            <c:numRef>
              <c:f>'Cross-sectional ratios analysis'!$D$66:$D$70</c:f>
              <c:numCache>
                <c:formatCode>General</c:formatCode>
                <c:ptCount val="5"/>
                <c:pt idx="0">
                  <c:v>1.6</c:v>
                </c:pt>
                <c:pt idx="1">
                  <c:v>2.5</c:v>
                </c:pt>
                <c:pt idx="2">
                  <c:v>2.1</c:v>
                </c:pt>
                <c:pt idx="3">
                  <c:v>2.2999999999999998</c:v>
                </c:pt>
                <c:pt idx="4">
                  <c:v>1.6</c:v>
                </c:pt>
              </c:numCache>
            </c:numRef>
          </c:val>
          <c:smooth val="0"/>
          <c:extLst>
            <c:ext xmlns:c16="http://schemas.microsoft.com/office/drawing/2014/chart" uri="{C3380CC4-5D6E-409C-BE32-E72D297353CC}">
              <c16:uniqueId val="{00000002-010A-4732-AF71-9B5318E0874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09054200"/>
        <c:axId val="409054592"/>
      </c:lineChart>
      <c:catAx>
        <c:axId val="4090542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09054592"/>
        <c:crosses val="autoZero"/>
        <c:auto val="1"/>
        <c:lblAlgn val="ctr"/>
        <c:lblOffset val="100"/>
        <c:noMultiLvlLbl val="0"/>
      </c:catAx>
      <c:valAx>
        <c:axId val="4090545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090542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ROE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analysis'!$B$56</c:f>
              <c:strCache>
                <c:ptCount val="1"/>
                <c:pt idx="0">
                  <c:v>ROE country wise %</c:v>
                </c:pt>
              </c:strCache>
            </c:strRef>
          </c:tx>
          <c:spPr>
            <a:ln w="22225" cap="rnd" cmpd="sng" algn="ctr">
              <a:solidFill>
                <a:schemeClr val="accent1"/>
              </a:solidFill>
              <a:round/>
            </a:ln>
            <a:effectLst/>
          </c:spPr>
          <c:marker>
            <c:symbol val="none"/>
          </c:marker>
          <c:cat>
            <c:numRef>
              <c:f>'Cross-sectional ratios analysis'!$A$57:$A$61</c:f>
              <c:numCache>
                <c:formatCode>General</c:formatCode>
                <c:ptCount val="5"/>
                <c:pt idx="0">
                  <c:v>2015</c:v>
                </c:pt>
                <c:pt idx="1">
                  <c:v>2016</c:v>
                </c:pt>
                <c:pt idx="2">
                  <c:v>2017</c:v>
                </c:pt>
                <c:pt idx="3">
                  <c:v>2018</c:v>
                </c:pt>
                <c:pt idx="4">
                  <c:v>2019</c:v>
                </c:pt>
              </c:numCache>
            </c:numRef>
          </c:cat>
          <c:val>
            <c:numRef>
              <c:f>'Cross-sectional ratios analysis'!$B$57:$B$61</c:f>
              <c:numCache>
                <c:formatCode>General</c:formatCode>
                <c:ptCount val="5"/>
                <c:pt idx="0">
                  <c:v>18.899999999999999</c:v>
                </c:pt>
                <c:pt idx="1">
                  <c:v>30.9</c:v>
                </c:pt>
                <c:pt idx="2">
                  <c:v>21.5</c:v>
                </c:pt>
                <c:pt idx="3">
                  <c:v>19.2</c:v>
                </c:pt>
                <c:pt idx="4">
                  <c:v>23.4</c:v>
                </c:pt>
              </c:numCache>
            </c:numRef>
          </c:val>
          <c:smooth val="0"/>
          <c:extLst>
            <c:ext xmlns:c16="http://schemas.microsoft.com/office/drawing/2014/chart" uri="{C3380CC4-5D6E-409C-BE32-E72D297353CC}">
              <c16:uniqueId val="{00000000-17F6-4259-882F-B6A756E72994}"/>
            </c:ext>
          </c:extLst>
        </c:ser>
        <c:ser>
          <c:idx val="1"/>
          <c:order val="1"/>
          <c:tx>
            <c:strRef>
              <c:f>'Cross-sectional ratios analysis'!$C$56</c:f>
              <c:strCache>
                <c:ptCount val="1"/>
                <c:pt idx="0">
                  <c:v>ROE QNB %</c:v>
                </c:pt>
              </c:strCache>
            </c:strRef>
          </c:tx>
          <c:spPr>
            <a:ln w="22225" cap="rnd" cmpd="sng" algn="ctr">
              <a:solidFill>
                <a:schemeClr val="accent2"/>
              </a:solidFill>
              <a:round/>
            </a:ln>
            <a:effectLst/>
          </c:spPr>
          <c:marker>
            <c:symbol val="none"/>
          </c:marker>
          <c:cat>
            <c:numRef>
              <c:f>'Cross-sectional ratios analysis'!$A$57:$A$61</c:f>
              <c:numCache>
                <c:formatCode>General</c:formatCode>
                <c:ptCount val="5"/>
                <c:pt idx="0">
                  <c:v>2015</c:v>
                </c:pt>
                <c:pt idx="1">
                  <c:v>2016</c:v>
                </c:pt>
                <c:pt idx="2">
                  <c:v>2017</c:v>
                </c:pt>
                <c:pt idx="3">
                  <c:v>2018</c:v>
                </c:pt>
                <c:pt idx="4">
                  <c:v>2019</c:v>
                </c:pt>
              </c:numCache>
            </c:numRef>
          </c:cat>
          <c:val>
            <c:numRef>
              <c:f>'Cross-sectional ratios analysis'!$C$57:$C$61</c:f>
              <c:numCache>
                <c:formatCode>General</c:formatCode>
                <c:ptCount val="5"/>
                <c:pt idx="0">
                  <c:v>21</c:v>
                </c:pt>
                <c:pt idx="1">
                  <c:v>16.36</c:v>
                </c:pt>
                <c:pt idx="2">
                  <c:v>24.3</c:v>
                </c:pt>
                <c:pt idx="3">
                  <c:v>25</c:v>
                </c:pt>
                <c:pt idx="4">
                  <c:v>24.3</c:v>
                </c:pt>
              </c:numCache>
            </c:numRef>
          </c:val>
          <c:smooth val="0"/>
          <c:extLst>
            <c:ext xmlns:c16="http://schemas.microsoft.com/office/drawing/2014/chart" uri="{C3380CC4-5D6E-409C-BE32-E72D297353CC}">
              <c16:uniqueId val="{00000001-17F6-4259-882F-B6A756E72994}"/>
            </c:ext>
          </c:extLst>
        </c:ser>
        <c:ser>
          <c:idx val="2"/>
          <c:order val="2"/>
          <c:tx>
            <c:strRef>
              <c:f>'Cross-sectional ratios analysis'!$D$56</c:f>
              <c:strCache>
                <c:ptCount val="1"/>
                <c:pt idx="0">
                  <c:v>ROE AAIB %</c:v>
                </c:pt>
              </c:strCache>
            </c:strRef>
          </c:tx>
          <c:spPr>
            <a:ln w="22225" cap="rnd" cmpd="sng" algn="ctr">
              <a:solidFill>
                <a:schemeClr val="accent3"/>
              </a:solidFill>
              <a:round/>
            </a:ln>
            <a:effectLst/>
          </c:spPr>
          <c:marker>
            <c:symbol val="none"/>
          </c:marker>
          <c:cat>
            <c:numRef>
              <c:f>'Cross-sectional ratios analysis'!$A$57:$A$61</c:f>
              <c:numCache>
                <c:formatCode>General</c:formatCode>
                <c:ptCount val="5"/>
                <c:pt idx="0">
                  <c:v>2015</c:v>
                </c:pt>
                <c:pt idx="1">
                  <c:v>2016</c:v>
                </c:pt>
                <c:pt idx="2">
                  <c:v>2017</c:v>
                </c:pt>
                <c:pt idx="3">
                  <c:v>2018</c:v>
                </c:pt>
                <c:pt idx="4">
                  <c:v>2019</c:v>
                </c:pt>
              </c:numCache>
            </c:numRef>
          </c:cat>
          <c:val>
            <c:numRef>
              <c:f>'Cross-sectional ratios analysis'!$D$57:$D$61</c:f>
              <c:numCache>
                <c:formatCode>General</c:formatCode>
                <c:ptCount val="5"/>
                <c:pt idx="0">
                  <c:v>16.100000000000001</c:v>
                </c:pt>
                <c:pt idx="1">
                  <c:v>16.600000000000001</c:v>
                </c:pt>
                <c:pt idx="2">
                  <c:v>14.9</c:v>
                </c:pt>
                <c:pt idx="3">
                  <c:v>14.1</c:v>
                </c:pt>
                <c:pt idx="4">
                  <c:v>9.9</c:v>
                </c:pt>
              </c:numCache>
            </c:numRef>
          </c:val>
          <c:smooth val="0"/>
          <c:extLst>
            <c:ext xmlns:c16="http://schemas.microsoft.com/office/drawing/2014/chart" uri="{C3380CC4-5D6E-409C-BE32-E72D297353CC}">
              <c16:uniqueId val="{00000002-17F6-4259-882F-B6A756E7299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09053808"/>
        <c:axId val="409052632"/>
      </c:lineChart>
      <c:catAx>
        <c:axId val="4090538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09052632"/>
        <c:crosses val="autoZero"/>
        <c:auto val="1"/>
        <c:lblAlgn val="ctr"/>
        <c:lblOffset val="100"/>
        <c:noMultiLvlLbl val="0"/>
      </c:catAx>
      <c:valAx>
        <c:axId val="4090526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0905380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Return on Assets (ROA)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(2).xlsx]AAIB ratios'!$B$52:$F$52</c:f>
              <c:numCache>
                <c:formatCode>General</c:formatCode>
                <c:ptCount val="5"/>
                <c:pt idx="0">
                  <c:v>2015</c:v>
                </c:pt>
                <c:pt idx="1">
                  <c:v>2016</c:v>
                </c:pt>
                <c:pt idx="2">
                  <c:v>2017</c:v>
                </c:pt>
                <c:pt idx="3">
                  <c:v>2018</c:v>
                </c:pt>
                <c:pt idx="4">
                  <c:v>2019</c:v>
                </c:pt>
              </c:numCache>
            </c:numRef>
          </c:cat>
          <c:val>
            <c:numRef>
              <c:f>'[final (2).xlsx]AAIB ratios'!$B$53:$F$53</c:f>
              <c:numCache>
                <c:formatCode>0.0%</c:formatCode>
                <c:ptCount val="5"/>
                <c:pt idx="0" formatCode="0%">
                  <c:v>1.58232787046402E-2</c:v>
                </c:pt>
                <c:pt idx="1">
                  <c:v>2.5246949794176379E-2</c:v>
                </c:pt>
                <c:pt idx="2">
                  <c:v>2.1409714701094984E-2</c:v>
                </c:pt>
                <c:pt idx="3">
                  <c:v>2.2916440331721119E-2</c:v>
                </c:pt>
                <c:pt idx="4">
                  <c:v>1.5899627966030401E-2</c:v>
                </c:pt>
              </c:numCache>
            </c:numRef>
          </c:val>
          <c:smooth val="0"/>
          <c:extLst>
            <c:ext xmlns:c16="http://schemas.microsoft.com/office/drawing/2014/chart" uri="{C3380CC4-5D6E-409C-BE32-E72D297353CC}">
              <c16:uniqueId val="{00000000-264E-48CB-B198-20541F86370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70832"/>
        <c:axId val="445479456"/>
      </c:lineChart>
      <c:catAx>
        <c:axId val="4454708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9456"/>
        <c:crosses val="autoZero"/>
        <c:auto val="1"/>
        <c:lblAlgn val="ctr"/>
        <c:lblOffset val="100"/>
        <c:noMultiLvlLbl val="0"/>
      </c:catAx>
      <c:valAx>
        <c:axId val="4454794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083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Operating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ratios'!$B$61:$F$61</c:f>
              <c:numCache>
                <c:formatCode>General</c:formatCode>
                <c:ptCount val="5"/>
                <c:pt idx="0">
                  <c:v>2015</c:v>
                </c:pt>
                <c:pt idx="1">
                  <c:v>2016</c:v>
                </c:pt>
                <c:pt idx="2">
                  <c:v>2017</c:v>
                </c:pt>
                <c:pt idx="3">
                  <c:v>2018</c:v>
                </c:pt>
                <c:pt idx="4">
                  <c:v>2019</c:v>
                </c:pt>
              </c:numCache>
            </c:numRef>
          </c:cat>
          <c:val>
            <c:numRef>
              <c:f>'AAIB ratios'!$B$62:$F$62</c:f>
              <c:numCache>
                <c:formatCode>0%</c:formatCode>
                <c:ptCount val="5"/>
                <c:pt idx="0">
                  <c:v>2.2632548322136389E-2</c:v>
                </c:pt>
                <c:pt idx="1">
                  <c:v>3.4294257435378915E-2</c:v>
                </c:pt>
                <c:pt idx="2">
                  <c:v>2.8067848307039355E-2</c:v>
                </c:pt>
                <c:pt idx="3">
                  <c:v>2.9987107903698667E-2</c:v>
                </c:pt>
                <c:pt idx="4">
                  <c:v>2.3101737631382895E-2</c:v>
                </c:pt>
              </c:numCache>
            </c:numRef>
          </c:val>
          <c:smooth val="0"/>
          <c:extLst>
            <c:ext xmlns:c16="http://schemas.microsoft.com/office/drawing/2014/chart" uri="{C3380CC4-5D6E-409C-BE32-E72D297353CC}">
              <c16:uniqueId val="{00000000-688F-4340-BEDD-8FA124AF42C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58680"/>
        <c:axId val="445459856"/>
      </c:lineChart>
      <c:catAx>
        <c:axId val="4454586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59856"/>
        <c:crosses val="autoZero"/>
        <c:auto val="1"/>
        <c:lblAlgn val="ctr"/>
        <c:lblOffset val="100"/>
        <c:noMultiLvlLbl val="0"/>
      </c:catAx>
      <c:valAx>
        <c:axId val="4454598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5868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interest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ratios'!$B$58:$F$58</c:f>
              <c:numCache>
                <c:formatCode>General</c:formatCode>
                <c:ptCount val="5"/>
                <c:pt idx="0">
                  <c:v>2015</c:v>
                </c:pt>
                <c:pt idx="1">
                  <c:v>2016</c:v>
                </c:pt>
                <c:pt idx="2">
                  <c:v>2017</c:v>
                </c:pt>
                <c:pt idx="3">
                  <c:v>2018</c:v>
                </c:pt>
                <c:pt idx="4">
                  <c:v>2019</c:v>
                </c:pt>
              </c:numCache>
            </c:numRef>
          </c:cat>
          <c:val>
            <c:numRef>
              <c:f>'AAIB ratios'!$B$59:$F$59</c:f>
              <c:numCache>
                <c:formatCode>0%</c:formatCode>
                <c:ptCount val="5"/>
                <c:pt idx="0">
                  <c:v>2.7384555703633899E-2</c:v>
                </c:pt>
                <c:pt idx="1">
                  <c:v>4.2168810661484091E-2</c:v>
                </c:pt>
                <c:pt idx="2">
                  <c:v>2.7180232383314767E-2</c:v>
                </c:pt>
                <c:pt idx="3">
                  <c:v>3.0544966439621325E-2</c:v>
                </c:pt>
                <c:pt idx="4">
                  <c:v>3.4611263407996383E-2</c:v>
                </c:pt>
              </c:numCache>
            </c:numRef>
          </c:val>
          <c:smooth val="0"/>
          <c:extLst>
            <c:ext xmlns:c16="http://schemas.microsoft.com/office/drawing/2014/chart" uri="{C3380CC4-5D6E-409C-BE32-E72D297353CC}">
              <c16:uniqueId val="{00000000-8911-4108-AC60-1C1881DA0C2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68480"/>
        <c:axId val="445466912"/>
      </c:lineChart>
      <c:catAx>
        <c:axId val="4454684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6912"/>
        <c:crosses val="autoZero"/>
        <c:auto val="1"/>
        <c:lblAlgn val="ctr"/>
        <c:lblOffset val="100"/>
        <c:noMultiLvlLbl val="0"/>
      </c:catAx>
      <c:valAx>
        <c:axId val="4454669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848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Non-Interest Margin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ratios'!$B$55:$F$55</c:f>
              <c:numCache>
                <c:formatCode>General</c:formatCode>
                <c:ptCount val="5"/>
                <c:pt idx="0">
                  <c:v>2015</c:v>
                </c:pt>
                <c:pt idx="1">
                  <c:v>2016</c:v>
                </c:pt>
                <c:pt idx="2">
                  <c:v>2017</c:v>
                </c:pt>
                <c:pt idx="3">
                  <c:v>2018</c:v>
                </c:pt>
                <c:pt idx="4">
                  <c:v>2019</c:v>
                </c:pt>
              </c:numCache>
            </c:numRef>
          </c:cat>
          <c:val>
            <c:numRef>
              <c:f>'AAIB ratios'!$B$56:$F$56</c:f>
              <c:numCache>
                <c:formatCode>0%</c:formatCode>
                <c:ptCount val="5"/>
                <c:pt idx="0">
                  <c:v>7.3997107746401119E-3</c:v>
                </c:pt>
                <c:pt idx="1">
                  <c:v>1.1137276128038921E-2</c:v>
                </c:pt>
                <c:pt idx="2">
                  <c:v>7.5101623239774828E-3</c:v>
                </c:pt>
                <c:pt idx="3">
                  <c:v>7.162933761367743E-3</c:v>
                </c:pt>
                <c:pt idx="4">
                  <c:v>6.1588939728417398E-3</c:v>
                </c:pt>
              </c:numCache>
            </c:numRef>
          </c:val>
          <c:smooth val="0"/>
          <c:extLst>
            <c:ext xmlns:c16="http://schemas.microsoft.com/office/drawing/2014/chart" uri="{C3380CC4-5D6E-409C-BE32-E72D297353CC}">
              <c16:uniqueId val="{00000000-CC27-4834-A2E6-AFB87569E60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61816"/>
        <c:axId val="445468088"/>
      </c:lineChart>
      <c:catAx>
        <c:axId val="4454618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8088"/>
        <c:crosses val="autoZero"/>
        <c:auto val="1"/>
        <c:lblAlgn val="ctr"/>
        <c:lblOffset val="100"/>
        <c:noMultiLvlLbl val="0"/>
      </c:catAx>
      <c:valAx>
        <c:axId val="445468088"/>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181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Return on Equity (ROE)</a:t>
            </a:r>
          </a:p>
        </c:rich>
      </c:tx>
      <c:layout>
        <c:manualLayout>
          <c:xMode val="edge"/>
          <c:yMode val="edge"/>
          <c:x val="0.28699300087489066"/>
          <c:y val="3.7037037037037035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ratios'!$B$67:$F$67</c:f>
              <c:numCache>
                <c:formatCode>General</c:formatCode>
                <c:ptCount val="5"/>
                <c:pt idx="0">
                  <c:v>2015</c:v>
                </c:pt>
                <c:pt idx="1">
                  <c:v>2016</c:v>
                </c:pt>
                <c:pt idx="2">
                  <c:v>2017</c:v>
                </c:pt>
                <c:pt idx="3">
                  <c:v>2018</c:v>
                </c:pt>
                <c:pt idx="4">
                  <c:v>2019</c:v>
                </c:pt>
              </c:numCache>
            </c:numRef>
          </c:cat>
          <c:val>
            <c:numRef>
              <c:f>'AAIB ratios'!$B$68:$F$68</c:f>
              <c:numCache>
                <c:formatCode>0.0%</c:formatCode>
                <c:ptCount val="5"/>
                <c:pt idx="0">
                  <c:v>0.16090372821107932</c:v>
                </c:pt>
                <c:pt idx="1">
                  <c:v>0.16684798001053469</c:v>
                </c:pt>
                <c:pt idx="2">
                  <c:v>0.14903000396630969</c:v>
                </c:pt>
                <c:pt idx="3">
                  <c:v>0.14111778333410749</c:v>
                </c:pt>
                <c:pt idx="4">
                  <c:v>9.9023975895060179E-2</c:v>
                </c:pt>
              </c:numCache>
            </c:numRef>
          </c:val>
          <c:smooth val="0"/>
          <c:extLst>
            <c:ext xmlns:c16="http://schemas.microsoft.com/office/drawing/2014/chart" uri="{C3380CC4-5D6E-409C-BE32-E72D297353CC}">
              <c16:uniqueId val="{00000000-404E-42C3-AC98-9E6B0AF014F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57112"/>
        <c:axId val="445466128"/>
      </c:lineChart>
      <c:catAx>
        <c:axId val="44545711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6128"/>
        <c:crosses val="autoZero"/>
        <c:auto val="1"/>
        <c:lblAlgn val="ctr"/>
        <c:lblOffset val="100"/>
        <c:noMultiLvlLbl val="0"/>
      </c:catAx>
      <c:valAx>
        <c:axId val="445466128"/>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5711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Equity Multiplier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ratios'!$B$70:$F$70</c:f>
              <c:numCache>
                <c:formatCode>General</c:formatCode>
                <c:ptCount val="5"/>
                <c:pt idx="0">
                  <c:v>2015</c:v>
                </c:pt>
                <c:pt idx="1">
                  <c:v>2016</c:v>
                </c:pt>
                <c:pt idx="2">
                  <c:v>2017</c:v>
                </c:pt>
                <c:pt idx="3">
                  <c:v>2018</c:v>
                </c:pt>
                <c:pt idx="4">
                  <c:v>2019</c:v>
                </c:pt>
              </c:numCache>
            </c:numRef>
          </c:cat>
          <c:val>
            <c:numRef>
              <c:f>'AAIB ratios'!$B$71:$F$71</c:f>
              <c:numCache>
                <c:formatCode>0.00</c:formatCode>
                <c:ptCount val="5"/>
                <c:pt idx="0">
                  <c:v>10.1687982127177</c:v>
                </c:pt>
                <c:pt idx="1">
                  <c:v>6.6086391176260388</c:v>
                </c:pt>
                <c:pt idx="2">
                  <c:v>6.9608589393621241</c:v>
                </c:pt>
                <c:pt idx="3">
                  <c:v>6.1579277274913915</c:v>
                </c:pt>
                <c:pt idx="4">
                  <c:v>6.2280687388802543</c:v>
                </c:pt>
              </c:numCache>
            </c:numRef>
          </c:val>
          <c:smooth val="0"/>
          <c:extLst>
            <c:ext xmlns:c16="http://schemas.microsoft.com/office/drawing/2014/chart" uri="{C3380CC4-5D6E-409C-BE32-E72D297353CC}">
              <c16:uniqueId val="{00000000-92DE-41A5-9575-B1B1B669946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62600"/>
        <c:axId val="445464168"/>
      </c:lineChart>
      <c:catAx>
        <c:axId val="4454626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4168"/>
        <c:crosses val="autoZero"/>
        <c:auto val="1"/>
        <c:lblAlgn val="ctr"/>
        <c:lblOffset val="100"/>
        <c:noMultiLvlLbl val="0"/>
      </c:catAx>
      <c:valAx>
        <c:axId val="44546416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260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Operating Margin</a:t>
            </a:r>
          </a:p>
        </c:rich>
      </c:tx>
      <c:layout>
        <c:manualLayout>
          <c:xMode val="edge"/>
          <c:yMode val="edge"/>
          <c:x val="0.33699300087489065"/>
          <c:y val="3.7037037037037035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ratios'!$B$62:$F$62</c:f>
              <c:numCache>
                <c:formatCode>General</c:formatCode>
                <c:ptCount val="5"/>
                <c:pt idx="0">
                  <c:v>2015</c:v>
                </c:pt>
                <c:pt idx="1">
                  <c:v>2016</c:v>
                </c:pt>
                <c:pt idx="2">
                  <c:v>2017</c:v>
                </c:pt>
                <c:pt idx="3">
                  <c:v>2018</c:v>
                </c:pt>
                <c:pt idx="4">
                  <c:v>2019</c:v>
                </c:pt>
              </c:numCache>
            </c:numRef>
          </c:cat>
          <c:val>
            <c:numRef>
              <c:f>'[final (2).xlsx]QNB ratios'!$B$63:$F$63</c:f>
              <c:numCache>
                <c:formatCode>0%</c:formatCode>
                <c:ptCount val="5"/>
                <c:pt idx="0">
                  <c:v>3.1173046362987053E-2</c:v>
                </c:pt>
                <c:pt idx="1">
                  <c:v>2.1558316587418545E-2</c:v>
                </c:pt>
                <c:pt idx="2">
                  <c:v>3.2174512513225E-2</c:v>
                </c:pt>
                <c:pt idx="3">
                  <c:v>3.7221979170879743E-2</c:v>
                </c:pt>
                <c:pt idx="4">
                  <c:v>4.1546494539502744E-2</c:v>
                </c:pt>
              </c:numCache>
            </c:numRef>
          </c:val>
          <c:smooth val="0"/>
          <c:extLst>
            <c:ext xmlns:c16="http://schemas.microsoft.com/office/drawing/2014/chart" uri="{C3380CC4-5D6E-409C-BE32-E72D297353CC}">
              <c16:uniqueId val="{00000000-FEFA-4397-B5D8-09F2587AAF27}"/>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3944"/>
        <c:axId val="470005320"/>
      </c:lineChart>
      <c:catAx>
        <c:axId val="47001394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05320"/>
        <c:crosses val="autoZero"/>
        <c:auto val="1"/>
        <c:lblAlgn val="ctr"/>
        <c:lblOffset val="100"/>
        <c:noMultiLvlLbl val="0"/>
      </c:catAx>
      <c:valAx>
        <c:axId val="47000532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394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Profit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ratios'!$B$73:$F$73</c:f>
              <c:numCache>
                <c:formatCode>General</c:formatCode>
                <c:ptCount val="5"/>
                <c:pt idx="0">
                  <c:v>2015</c:v>
                </c:pt>
                <c:pt idx="1">
                  <c:v>2016</c:v>
                </c:pt>
                <c:pt idx="2">
                  <c:v>2017</c:v>
                </c:pt>
                <c:pt idx="3">
                  <c:v>2018</c:v>
                </c:pt>
                <c:pt idx="4">
                  <c:v>2019</c:v>
                </c:pt>
              </c:numCache>
            </c:numRef>
          </c:cat>
          <c:val>
            <c:numRef>
              <c:f>'AAIB ratios'!$B$74:$F$74</c:f>
              <c:numCache>
                <c:formatCode>0%</c:formatCode>
                <c:ptCount val="5"/>
                <c:pt idx="0">
                  <c:v>0.46203343971139171</c:v>
                </c:pt>
                <c:pt idx="1">
                  <c:v>0.48525508898139541</c:v>
                </c:pt>
                <c:pt idx="2">
                  <c:v>0.63277618312897332</c:v>
                </c:pt>
                <c:pt idx="3">
                  <c:v>0.6213502534252372</c:v>
                </c:pt>
                <c:pt idx="4">
                  <c:v>0.42895243141066941</c:v>
                </c:pt>
              </c:numCache>
            </c:numRef>
          </c:val>
          <c:smooth val="0"/>
          <c:extLst>
            <c:ext xmlns:c16="http://schemas.microsoft.com/office/drawing/2014/chart" uri="{C3380CC4-5D6E-409C-BE32-E72D297353CC}">
              <c16:uniqueId val="{00000000-E410-4F1D-B198-D333AB6EB40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57504"/>
        <c:axId val="445457896"/>
      </c:lineChart>
      <c:catAx>
        <c:axId val="44545750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57896"/>
        <c:crosses val="autoZero"/>
        <c:auto val="1"/>
        <c:lblAlgn val="ctr"/>
        <c:lblOffset val="100"/>
        <c:noMultiLvlLbl val="0"/>
      </c:catAx>
      <c:valAx>
        <c:axId val="445457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5750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Tax Management Efficieny Ratio</a:t>
            </a:r>
          </a:p>
        </c:rich>
      </c:tx>
      <c:layout>
        <c:manualLayout>
          <c:xMode val="edge"/>
          <c:yMode val="edge"/>
          <c:x val="0.24254855643044615"/>
          <c:y val="4.1666666666666664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ratios'!$B$79:$F$79</c:f>
              <c:numCache>
                <c:formatCode>General</c:formatCode>
                <c:ptCount val="5"/>
                <c:pt idx="0">
                  <c:v>2015</c:v>
                </c:pt>
                <c:pt idx="1">
                  <c:v>2016</c:v>
                </c:pt>
                <c:pt idx="2">
                  <c:v>2017</c:v>
                </c:pt>
                <c:pt idx="3">
                  <c:v>2018</c:v>
                </c:pt>
                <c:pt idx="4">
                  <c:v>2019</c:v>
                </c:pt>
              </c:numCache>
            </c:numRef>
          </c:cat>
          <c:val>
            <c:numRef>
              <c:f>'AAIB ratios'!$B$80:$F$80</c:f>
              <c:numCache>
                <c:formatCode>0%</c:formatCode>
                <c:ptCount val="5"/>
                <c:pt idx="0">
                  <c:v>0.69913818273675365</c:v>
                </c:pt>
                <c:pt idx="1">
                  <c:v>0.73618592972160179</c:v>
                </c:pt>
                <c:pt idx="2">
                  <c:v>0.76278432414519903</c:v>
                </c:pt>
                <c:pt idx="3">
                  <c:v>0.76420975324848062</c:v>
                </c:pt>
                <c:pt idx="4">
                  <c:v>0.68824381177419824</c:v>
                </c:pt>
              </c:numCache>
            </c:numRef>
          </c:val>
          <c:smooth val="0"/>
          <c:extLst>
            <c:ext xmlns:c16="http://schemas.microsoft.com/office/drawing/2014/chart" uri="{C3380CC4-5D6E-409C-BE32-E72D297353CC}">
              <c16:uniqueId val="{00000000-AAD8-4A00-9691-03D4E41C986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73184"/>
        <c:axId val="445475928"/>
      </c:lineChart>
      <c:catAx>
        <c:axId val="4454731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5928"/>
        <c:crosses val="autoZero"/>
        <c:auto val="1"/>
        <c:lblAlgn val="ctr"/>
        <c:lblOffset val="100"/>
        <c:noMultiLvlLbl val="0"/>
      </c:catAx>
      <c:valAx>
        <c:axId val="445475928"/>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318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Asset Utilization Ratio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ratios'!$B$76:$F$76</c:f>
              <c:numCache>
                <c:formatCode>General</c:formatCode>
                <c:ptCount val="5"/>
                <c:pt idx="0">
                  <c:v>2015</c:v>
                </c:pt>
                <c:pt idx="1">
                  <c:v>2016</c:v>
                </c:pt>
                <c:pt idx="2">
                  <c:v>2017</c:v>
                </c:pt>
                <c:pt idx="3">
                  <c:v>2018</c:v>
                </c:pt>
                <c:pt idx="4">
                  <c:v>2019</c:v>
                </c:pt>
              </c:numCache>
            </c:numRef>
          </c:cat>
          <c:val>
            <c:numRef>
              <c:f>'AAIB ratios'!$B$77:$F$77</c:f>
              <c:numCache>
                <c:formatCode>0%</c:formatCode>
                <c:ptCount val="5"/>
                <c:pt idx="0">
                  <c:v>3.4247042193578416E-2</c:v>
                </c:pt>
                <c:pt idx="1">
                  <c:v>5.2028202006438602E-2</c:v>
                </c:pt>
                <c:pt idx="2">
                  <c:v>3.3834577330688197E-2</c:v>
                </c:pt>
                <c:pt idx="3">
                  <c:v>3.688167857885729E-2</c:v>
                </c:pt>
                <c:pt idx="4">
                  <c:v>3.7066179841299125E-2</c:v>
                </c:pt>
              </c:numCache>
            </c:numRef>
          </c:val>
          <c:smooth val="0"/>
          <c:extLst>
            <c:ext xmlns:c16="http://schemas.microsoft.com/office/drawing/2014/chart" uri="{C3380CC4-5D6E-409C-BE32-E72D297353CC}">
              <c16:uniqueId val="{00000000-1282-4CFD-8832-54E7D08A136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69656"/>
        <c:axId val="445478672"/>
      </c:lineChart>
      <c:catAx>
        <c:axId val="4454696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8672"/>
        <c:crosses val="autoZero"/>
        <c:auto val="1"/>
        <c:lblAlgn val="ctr"/>
        <c:lblOffset val="100"/>
        <c:noMultiLvlLbl val="0"/>
      </c:catAx>
      <c:valAx>
        <c:axId val="44547867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6965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Expense Control Management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ratios'!$B$82:$F$82</c:f>
              <c:numCache>
                <c:formatCode>General</c:formatCode>
                <c:ptCount val="5"/>
                <c:pt idx="0">
                  <c:v>2015</c:v>
                </c:pt>
                <c:pt idx="1">
                  <c:v>2016</c:v>
                </c:pt>
                <c:pt idx="2">
                  <c:v>2017</c:v>
                </c:pt>
                <c:pt idx="3">
                  <c:v>2018</c:v>
                </c:pt>
                <c:pt idx="4">
                  <c:v>2019</c:v>
                </c:pt>
              </c:numCache>
            </c:numRef>
          </c:cat>
          <c:val>
            <c:numRef>
              <c:f>'AAIB ratios'!$B$83:$F$83</c:f>
              <c:numCache>
                <c:formatCode>0%</c:formatCode>
                <c:ptCount val="5"/>
                <c:pt idx="0">
                  <c:v>0.66086140210906064</c:v>
                </c:pt>
                <c:pt idx="1">
                  <c:v>0.65914746450655592</c:v>
                </c:pt>
                <c:pt idx="2">
                  <c:v>0.82956107394850176</c:v>
                </c:pt>
                <c:pt idx="3">
                  <c:v>0.81306244886828472</c:v>
                </c:pt>
                <c:pt idx="4">
                  <c:v>0.62325650310591074</c:v>
                </c:pt>
              </c:numCache>
            </c:numRef>
          </c:val>
          <c:smooth val="0"/>
          <c:extLst>
            <c:ext xmlns:c16="http://schemas.microsoft.com/office/drawing/2014/chart" uri="{C3380CC4-5D6E-409C-BE32-E72D297353CC}">
              <c16:uniqueId val="{00000000-4F1B-48C8-A247-5DE5026E219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77496"/>
        <c:axId val="445479064"/>
      </c:lineChart>
      <c:catAx>
        <c:axId val="445477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9064"/>
        <c:crosses val="autoZero"/>
        <c:auto val="1"/>
        <c:lblAlgn val="ctr"/>
        <c:lblOffset val="100"/>
        <c:noMultiLvlLbl val="0"/>
      </c:catAx>
      <c:valAx>
        <c:axId val="445479064"/>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749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Earnings per share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'AAIB ratios'!$B$85:$F$85</c:f>
              <c:numCache>
                <c:formatCode>General</c:formatCode>
                <c:ptCount val="5"/>
                <c:pt idx="0">
                  <c:v>2015</c:v>
                </c:pt>
                <c:pt idx="1">
                  <c:v>2016</c:v>
                </c:pt>
                <c:pt idx="2">
                  <c:v>2017</c:v>
                </c:pt>
                <c:pt idx="3">
                  <c:v>2018</c:v>
                </c:pt>
                <c:pt idx="4">
                  <c:v>2019</c:v>
                </c:pt>
              </c:numCache>
            </c:numRef>
          </c:cat>
          <c:val>
            <c:numRef>
              <c:f>'AAIB ratios'!$B$86:$F$86</c:f>
              <c:numCache>
                <c:formatCode>General</c:formatCode>
                <c:ptCount val="5"/>
                <c:pt idx="0">
                  <c:v>9.8800000000000008</c:v>
                </c:pt>
                <c:pt idx="1">
                  <c:v>11.8</c:v>
                </c:pt>
                <c:pt idx="2">
                  <c:v>2.38</c:v>
                </c:pt>
                <c:pt idx="3">
                  <c:v>2.4</c:v>
                </c:pt>
                <c:pt idx="4">
                  <c:v>1.73</c:v>
                </c:pt>
              </c:numCache>
            </c:numRef>
          </c:val>
          <c:smooth val="0"/>
          <c:extLst>
            <c:ext xmlns:c16="http://schemas.microsoft.com/office/drawing/2014/chart" uri="{C3380CC4-5D6E-409C-BE32-E72D297353CC}">
              <c16:uniqueId val="{00000000-E664-40AF-AFF6-D2A498A01E2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5476320"/>
        <c:axId val="445472400"/>
      </c:lineChart>
      <c:catAx>
        <c:axId val="4454763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2400"/>
        <c:crosses val="autoZero"/>
        <c:auto val="1"/>
        <c:lblAlgn val="ctr"/>
        <c:lblOffset val="100"/>
        <c:noMultiLvlLbl val="0"/>
      </c:catAx>
      <c:valAx>
        <c:axId val="4454724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54763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Return on Assets (ROA)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analysis'!$A$3</c:f>
              <c:strCache>
                <c:ptCount val="1"/>
                <c:pt idx="0">
                  <c:v>QNB</c:v>
                </c:pt>
              </c:strCache>
            </c:strRef>
          </c:tx>
          <c:spPr>
            <a:ln w="22225" cap="rnd" cmpd="sng" algn="ctr">
              <a:solidFill>
                <a:schemeClr val="accent1"/>
              </a:solidFill>
              <a:round/>
            </a:ln>
            <a:effectLst/>
          </c:spPr>
          <c:marker>
            <c:symbol val="none"/>
          </c:marker>
          <c:cat>
            <c:numRef>
              <c:f>'Cross-sectional ratios analysis'!$B$2:$F$2</c:f>
              <c:numCache>
                <c:formatCode>General</c:formatCode>
                <c:ptCount val="5"/>
                <c:pt idx="0">
                  <c:v>2015</c:v>
                </c:pt>
                <c:pt idx="1">
                  <c:v>2016</c:v>
                </c:pt>
                <c:pt idx="2">
                  <c:v>2017</c:v>
                </c:pt>
                <c:pt idx="3">
                  <c:v>2018</c:v>
                </c:pt>
                <c:pt idx="4">
                  <c:v>2019</c:v>
                </c:pt>
              </c:numCache>
            </c:numRef>
          </c:cat>
          <c:val>
            <c:numRef>
              <c:f>'Cross-sectional ratios analysis'!$B$3:$F$3</c:f>
              <c:numCache>
                <c:formatCode>0%</c:formatCode>
                <c:ptCount val="5"/>
                <c:pt idx="0">
                  <c:v>2.3549633730420291E-2</c:v>
                </c:pt>
                <c:pt idx="1">
                  <c:v>1.4490188736292884E-2</c:v>
                </c:pt>
                <c:pt idx="2">
                  <c:v>2.4104856378129737E-2</c:v>
                </c:pt>
                <c:pt idx="3">
                  <c:v>2.7302886787843674E-2</c:v>
                </c:pt>
                <c:pt idx="4">
                  <c:v>3.0944150788128628E-2</c:v>
                </c:pt>
              </c:numCache>
            </c:numRef>
          </c:val>
          <c:smooth val="0"/>
          <c:extLst>
            <c:ext xmlns:c16="http://schemas.microsoft.com/office/drawing/2014/chart" uri="{C3380CC4-5D6E-409C-BE32-E72D297353CC}">
              <c16:uniqueId val="{00000000-5AAA-497F-B46A-6BEA4FB1B905}"/>
            </c:ext>
          </c:extLst>
        </c:ser>
        <c:ser>
          <c:idx val="1"/>
          <c:order val="1"/>
          <c:tx>
            <c:strRef>
              <c:f>'Cross-sectional ratios analysis'!$A$4</c:f>
              <c:strCache>
                <c:ptCount val="1"/>
                <c:pt idx="0">
                  <c:v>AAIB</c:v>
                </c:pt>
              </c:strCache>
            </c:strRef>
          </c:tx>
          <c:spPr>
            <a:ln w="22225" cap="rnd" cmpd="sng" algn="ctr">
              <a:solidFill>
                <a:schemeClr val="accent2"/>
              </a:solidFill>
              <a:round/>
            </a:ln>
            <a:effectLst/>
          </c:spPr>
          <c:marker>
            <c:symbol val="none"/>
          </c:marker>
          <c:cat>
            <c:numRef>
              <c:f>'Cross-sectional ratios analysis'!$B$2:$F$2</c:f>
              <c:numCache>
                <c:formatCode>General</c:formatCode>
                <c:ptCount val="5"/>
                <c:pt idx="0">
                  <c:v>2015</c:v>
                </c:pt>
                <c:pt idx="1">
                  <c:v>2016</c:v>
                </c:pt>
                <c:pt idx="2">
                  <c:v>2017</c:v>
                </c:pt>
                <c:pt idx="3">
                  <c:v>2018</c:v>
                </c:pt>
                <c:pt idx="4">
                  <c:v>2019</c:v>
                </c:pt>
              </c:numCache>
            </c:numRef>
          </c:cat>
          <c:val>
            <c:numRef>
              <c:f>'Cross-sectional ratios analysis'!$B$4:$F$4</c:f>
              <c:numCache>
                <c:formatCode>0%</c:formatCode>
                <c:ptCount val="5"/>
                <c:pt idx="0">
                  <c:v>1.58232787046402E-2</c:v>
                </c:pt>
                <c:pt idx="1">
                  <c:v>2.5246949794176379E-2</c:v>
                </c:pt>
                <c:pt idx="2">
                  <c:v>2.1409714701094984E-2</c:v>
                </c:pt>
                <c:pt idx="3">
                  <c:v>2.2916440331721119E-2</c:v>
                </c:pt>
                <c:pt idx="4">
                  <c:v>1.5899627966030401E-2</c:v>
                </c:pt>
              </c:numCache>
            </c:numRef>
          </c:val>
          <c:smooth val="0"/>
          <c:extLst>
            <c:ext xmlns:c16="http://schemas.microsoft.com/office/drawing/2014/chart" uri="{C3380CC4-5D6E-409C-BE32-E72D297353CC}">
              <c16:uniqueId val="{00000001-5AAA-497F-B46A-6BEA4FB1B90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889360"/>
        <c:axId val="440889752"/>
      </c:lineChart>
      <c:catAx>
        <c:axId val="4408893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89752"/>
        <c:crosses val="autoZero"/>
        <c:auto val="1"/>
        <c:lblAlgn val="ctr"/>
        <c:lblOffset val="100"/>
        <c:noMultiLvlLbl val="0"/>
      </c:catAx>
      <c:valAx>
        <c:axId val="44088975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893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Interest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analysis'!$A$11</c:f>
              <c:strCache>
                <c:ptCount val="1"/>
                <c:pt idx="0">
                  <c:v>QNB</c:v>
                </c:pt>
              </c:strCache>
            </c:strRef>
          </c:tx>
          <c:spPr>
            <a:ln w="22225" cap="rnd" cmpd="sng" algn="ctr">
              <a:solidFill>
                <a:schemeClr val="accent1"/>
              </a:solidFill>
              <a:round/>
            </a:ln>
            <a:effectLst/>
          </c:spPr>
          <c:marker>
            <c:symbol val="none"/>
          </c:marker>
          <c:cat>
            <c:numRef>
              <c:f>'Cross-sectional ratios analysis'!$B$10:$F$10</c:f>
              <c:numCache>
                <c:formatCode>General</c:formatCode>
                <c:ptCount val="5"/>
                <c:pt idx="0">
                  <c:v>2015</c:v>
                </c:pt>
                <c:pt idx="1">
                  <c:v>2016</c:v>
                </c:pt>
                <c:pt idx="2">
                  <c:v>2017</c:v>
                </c:pt>
                <c:pt idx="3">
                  <c:v>2018</c:v>
                </c:pt>
                <c:pt idx="4">
                  <c:v>2019</c:v>
                </c:pt>
              </c:numCache>
            </c:numRef>
          </c:cat>
          <c:val>
            <c:numRef>
              <c:f>'Cross-sectional ratios analysis'!$B$11:$F$11</c:f>
              <c:numCache>
                <c:formatCode>0.00%</c:formatCode>
                <c:ptCount val="5"/>
                <c:pt idx="0">
                  <c:v>3.9381810047276318E-2</c:v>
                </c:pt>
                <c:pt idx="1">
                  <c:v>3.8758489763722058E-2</c:v>
                </c:pt>
                <c:pt idx="2">
                  <c:v>4.0327552749538684E-2</c:v>
                </c:pt>
                <c:pt idx="3">
                  <c:v>4.4076053751893489E-2</c:v>
                </c:pt>
                <c:pt idx="4">
                  <c:v>6.1071505852225469E-2</c:v>
                </c:pt>
              </c:numCache>
            </c:numRef>
          </c:val>
          <c:smooth val="0"/>
          <c:extLst>
            <c:ext xmlns:c16="http://schemas.microsoft.com/office/drawing/2014/chart" uri="{C3380CC4-5D6E-409C-BE32-E72D297353CC}">
              <c16:uniqueId val="{00000000-818D-4E51-9A29-273288FA2B2E}"/>
            </c:ext>
          </c:extLst>
        </c:ser>
        <c:ser>
          <c:idx val="1"/>
          <c:order val="1"/>
          <c:tx>
            <c:strRef>
              <c:f>'Cross-sectional ratios analysis'!$A$12</c:f>
              <c:strCache>
                <c:ptCount val="1"/>
                <c:pt idx="0">
                  <c:v>AAIB</c:v>
                </c:pt>
              </c:strCache>
            </c:strRef>
          </c:tx>
          <c:spPr>
            <a:ln w="22225" cap="rnd" cmpd="sng" algn="ctr">
              <a:solidFill>
                <a:schemeClr val="accent2"/>
              </a:solidFill>
              <a:round/>
            </a:ln>
            <a:effectLst/>
          </c:spPr>
          <c:marker>
            <c:symbol val="none"/>
          </c:marker>
          <c:cat>
            <c:numRef>
              <c:f>'Cross-sectional ratios analysis'!$B$10:$F$10</c:f>
              <c:numCache>
                <c:formatCode>General</c:formatCode>
                <c:ptCount val="5"/>
                <c:pt idx="0">
                  <c:v>2015</c:v>
                </c:pt>
                <c:pt idx="1">
                  <c:v>2016</c:v>
                </c:pt>
                <c:pt idx="2">
                  <c:v>2017</c:v>
                </c:pt>
                <c:pt idx="3">
                  <c:v>2018</c:v>
                </c:pt>
                <c:pt idx="4">
                  <c:v>2019</c:v>
                </c:pt>
              </c:numCache>
            </c:numRef>
          </c:cat>
          <c:val>
            <c:numRef>
              <c:f>'Cross-sectional ratios analysis'!$B$12:$F$12</c:f>
              <c:numCache>
                <c:formatCode>0.00%</c:formatCode>
                <c:ptCount val="5"/>
                <c:pt idx="0">
                  <c:v>2.7384555703633899E-2</c:v>
                </c:pt>
                <c:pt idx="1">
                  <c:v>4.2168810661484091E-2</c:v>
                </c:pt>
                <c:pt idx="2">
                  <c:v>2.7180232383314767E-2</c:v>
                </c:pt>
                <c:pt idx="3">
                  <c:v>3.0544966439621325E-2</c:v>
                </c:pt>
                <c:pt idx="4">
                  <c:v>3.4611263407996383E-2</c:v>
                </c:pt>
              </c:numCache>
            </c:numRef>
          </c:val>
          <c:smooth val="0"/>
          <c:extLst>
            <c:ext xmlns:c16="http://schemas.microsoft.com/office/drawing/2014/chart" uri="{C3380CC4-5D6E-409C-BE32-E72D297353CC}">
              <c16:uniqueId val="{00000001-818D-4E51-9A29-273288FA2B2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141008"/>
        <c:axId val="209141400"/>
      </c:lineChart>
      <c:catAx>
        <c:axId val="2091410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1400"/>
        <c:crosses val="autoZero"/>
        <c:auto val="1"/>
        <c:lblAlgn val="ctr"/>
        <c:lblOffset val="100"/>
        <c:noMultiLvlLbl val="0"/>
      </c:catAx>
      <c:valAx>
        <c:axId val="20914140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100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Non-Interest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analysis'!$A$15</c:f>
              <c:strCache>
                <c:ptCount val="1"/>
                <c:pt idx="0">
                  <c:v>QNB</c:v>
                </c:pt>
              </c:strCache>
            </c:strRef>
          </c:tx>
          <c:spPr>
            <a:ln w="22225" cap="rnd" cmpd="sng" algn="ctr">
              <a:solidFill>
                <a:schemeClr val="accent1"/>
              </a:solidFill>
              <a:round/>
            </a:ln>
            <a:effectLst/>
          </c:spPr>
          <c:marker>
            <c:symbol val="none"/>
          </c:marker>
          <c:cat>
            <c:numRef>
              <c:f>'Cross-sectional ratios analysis'!$B$14:$F$14</c:f>
              <c:numCache>
                <c:formatCode>General</c:formatCode>
                <c:ptCount val="5"/>
                <c:pt idx="0">
                  <c:v>2015</c:v>
                </c:pt>
                <c:pt idx="1">
                  <c:v>2016</c:v>
                </c:pt>
                <c:pt idx="2">
                  <c:v>2017</c:v>
                </c:pt>
                <c:pt idx="3">
                  <c:v>2018</c:v>
                </c:pt>
                <c:pt idx="4">
                  <c:v>2019</c:v>
                </c:pt>
              </c:numCache>
            </c:numRef>
          </c:cat>
          <c:val>
            <c:numRef>
              <c:f>'Cross-sectional ratios analysis'!$B$15:$F$15</c:f>
              <c:numCache>
                <c:formatCode>0.00%</c:formatCode>
                <c:ptCount val="5"/>
                <c:pt idx="0">
                  <c:v>9.5815453174881455E-3</c:v>
                </c:pt>
                <c:pt idx="1">
                  <c:v>7.5186755456123841E-3</c:v>
                </c:pt>
                <c:pt idx="2">
                  <c:v>8.3562876663925197E-3</c:v>
                </c:pt>
                <c:pt idx="3">
                  <c:v>7.953638968554758E-3</c:v>
                </c:pt>
                <c:pt idx="4">
                  <c:v>9.0152768747614707E-3</c:v>
                </c:pt>
              </c:numCache>
            </c:numRef>
          </c:val>
          <c:smooth val="0"/>
          <c:extLst>
            <c:ext xmlns:c16="http://schemas.microsoft.com/office/drawing/2014/chart" uri="{C3380CC4-5D6E-409C-BE32-E72D297353CC}">
              <c16:uniqueId val="{00000000-5841-4CFE-BF43-81CE49320FDA}"/>
            </c:ext>
          </c:extLst>
        </c:ser>
        <c:ser>
          <c:idx val="1"/>
          <c:order val="1"/>
          <c:tx>
            <c:strRef>
              <c:f>'Cross-sectional ratios analysis'!$A$16</c:f>
              <c:strCache>
                <c:ptCount val="1"/>
                <c:pt idx="0">
                  <c:v>AAIB</c:v>
                </c:pt>
              </c:strCache>
            </c:strRef>
          </c:tx>
          <c:spPr>
            <a:ln w="22225" cap="rnd" cmpd="sng" algn="ctr">
              <a:solidFill>
                <a:schemeClr val="accent2"/>
              </a:solidFill>
              <a:round/>
            </a:ln>
            <a:effectLst/>
          </c:spPr>
          <c:marker>
            <c:symbol val="none"/>
          </c:marker>
          <c:cat>
            <c:numRef>
              <c:f>'Cross-sectional ratios analysis'!$B$14:$F$14</c:f>
              <c:numCache>
                <c:formatCode>General</c:formatCode>
                <c:ptCount val="5"/>
                <c:pt idx="0">
                  <c:v>2015</c:v>
                </c:pt>
                <c:pt idx="1">
                  <c:v>2016</c:v>
                </c:pt>
                <c:pt idx="2">
                  <c:v>2017</c:v>
                </c:pt>
                <c:pt idx="3">
                  <c:v>2018</c:v>
                </c:pt>
                <c:pt idx="4">
                  <c:v>2019</c:v>
                </c:pt>
              </c:numCache>
            </c:numRef>
          </c:cat>
          <c:val>
            <c:numRef>
              <c:f>'Cross-sectional ratios analysis'!$B$16:$F$16</c:f>
              <c:numCache>
                <c:formatCode>0.00%</c:formatCode>
                <c:ptCount val="5"/>
                <c:pt idx="0">
                  <c:v>7.3997107746401119E-3</c:v>
                </c:pt>
                <c:pt idx="1">
                  <c:v>1.1137276128038921E-2</c:v>
                </c:pt>
                <c:pt idx="2">
                  <c:v>7.5101623239774828E-3</c:v>
                </c:pt>
                <c:pt idx="3">
                  <c:v>7.162933761367743E-3</c:v>
                </c:pt>
                <c:pt idx="4">
                  <c:v>6.1588939728417398E-3</c:v>
                </c:pt>
              </c:numCache>
            </c:numRef>
          </c:val>
          <c:smooth val="0"/>
          <c:extLst>
            <c:ext xmlns:c16="http://schemas.microsoft.com/office/drawing/2014/chart" uri="{C3380CC4-5D6E-409C-BE32-E72D297353CC}">
              <c16:uniqueId val="{00000001-5841-4CFE-BF43-81CE49320F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144144"/>
        <c:axId val="209144536"/>
      </c:lineChart>
      <c:catAx>
        <c:axId val="20914414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4536"/>
        <c:crosses val="autoZero"/>
        <c:auto val="1"/>
        <c:lblAlgn val="ctr"/>
        <c:lblOffset val="100"/>
        <c:noMultiLvlLbl val="0"/>
      </c:catAx>
      <c:valAx>
        <c:axId val="209144536"/>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414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Expense Control Efficiency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analysis'!$A$40</c:f>
              <c:strCache>
                <c:ptCount val="1"/>
                <c:pt idx="0">
                  <c:v>QNB</c:v>
                </c:pt>
              </c:strCache>
            </c:strRef>
          </c:tx>
          <c:spPr>
            <a:ln w="22225" cap="rnd" cmpd="sng" algn="ctr">
              <a:solidFill>
                <a:schemeClr val="accent1"/>
              </a:solidFill>
              <a:round/>
            </a:ln>
            <a:effectLst/>
          </c:spPr>
          <c:marker>
            <c:symbol val="none"/>
          </c:marker>
          <c:cat>
            <c:numRef>
              <c:f>'Cross-sectional ratios analysis'!$B$39:$F$39</c:f>
              <c:numCache>
                <c:formatCode>General</c:formatCode>
                <c:ptCount val="5"/>
                <c:pt idx="0">
                  <c:v>2015</c:v>
                </c:pt>
                <c:pt idx="1">
                  <c:v>2016</c:v>
                </c:pt>
                <c:pt idx="2">
                  <c:v>2017</c:v>
                </c:pt>
                <c:pt idx="3">
                  <c:v>2018</c:v>
                </c:pt>
                <c:pt idx="4">
                  <c:v>2019</c:v>
                </c:pt>
              </c:numCache>
            </c:numRef>
          </c:cat>
          <c:val>
            <c:numRef>
              <c:f>'Cross-sectional ratios analysis'!$B$40:$F$40</c:f>
              <c:numCache>
                <c:formatCode>General</c:formatCode>
                <c:ptCount val="5"/>
                <c:pt idx="0">
                  <c:v>0.65774565118188943</c:v>
                </c:pt>
                <c:pt idx="1">
                  <c:v>0.6355275368390052</c:v>
                </c:pt>
                <c:pt idx="2">
                  <c:v>0.68231181856526135</c:v>
                </c:pt>
                <c:pt idx="3">
                  <c:v>0.73218772012912825</c:v>
                </c:pt>
                <c:pt idx="4">
                  <c:v>0.71754091884052462</c:v>
                </c:pt>
              </c:numCache>
            </c:numRef>
          </c:val>
          <c:smooth val="0"/>
          <c:extLst>
            <c:ext xmlns:c16="http://schemas.microsoft.com/office/drawing/2014/chart" uri="{C3380CC4-5D6E-409C-BE32-E72D297353CC}">
              <c16:uniqueId val="{00000000-B412-4724-B1FB-9B7AF37E1956}"/>
            </c:ext>
          </c:extLst>
        </c:ser>
        <c:ser>
          <c:idx val="1"/>
          <c:order val="1"/>
          <c:tx>
            <c:strRef>
              <c:f>'Cross-sectional ratios analysis'!$A$41</c:f>
              <c:strCache>
                <c:ptCount val="1"/>
                <c:pt idx="0">
                  <c:v>AAIB</c:v>
                </c:pt>
              </c:strCache>
            </c:strRef>
          </c:tx>
          <c:spPr>
            <a:ln w="22225" cap="rnd" cmpd="sng" algn="ctr">
              <a:solidFill>
                <a:schemeClr val="accent2"/>
              </a:solidFill>
              <a:round/>
            </a:ln>
            <a:effectLst/>
          </c:spPr>
          <c:marker>
            <c:symbol val="none"/>
          </c:marker>
          <c:cat>
            <c:numRef>
              <c:f>'Cross-sectional ratios analysis'!$B$39:$F$39</c:f>
              <c:numCache>
                <c:formatCode>General</c:formatCode>
                <c:ptCount val="5"/>
                <c:pt idx="0">
                  <c:v>2015</c:v>
                </c:pt>
                <c:pt idx="1">
                  <c:v>2016</c:v>
                </c:pt>
                <c:pt idx="2">
                  <c:v>2017</c:v>
                </c:pt>
                <c:pt idx="3">
                  <c:v>2018</c:v>
                </c:pt>
                <c:pt idx="4">
                  <c:v>2019</c:v>
                </c:pt>
              </c:numCache>
            </c:numRef>
          </c:cat>
          <c:val>
            <c:numRef>
              <c:f>'Cross-sectional ratios analysis'!$B$41:$F$41</c:f>
              <c:numCache>
                <c:formatCode>General</c:formatCode>
                <c:ptCount val="5"/>
                <c:pt idx="0">
                  <c:v>0.66086140210906064</c:v>
                </c:pt>
                <c:pt idx="1">
                  <c:v>0.65807356770457448</c:v>
                </c:pt>
                <c:pt idx="2">
                  <c:v>0.82956107394850176</c:v>
                </c:pt>
                <c:pt idx="3">
                  <c:v>0.81306244886828472</c:v>
                </c:pt>
                <c:pt idx="4">
                  <c:v>0.62325650310591074</c:v>
                </c:pt>
              </c:numCache>
            </c:numRef>
          </c:val>
          <c:smooth val="0"/>
          <c:extLst>
            <c:ext xmlns:c16="http://schemas.microsoft.com/office/drawing/2014/chart" uri="{C3380CC4-5D6E-409C-BE32-E72D297353CC}">
              <c16:uniqueId val="{00000001-B412-4724-B1FB-9B7AF37E195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868584"/>
        <c:axId val="440865840"/>
      </c:lineChart>
      <c:catAx>
        <c:axId val="4408685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5840"/>
        <c:crosses val="autoZero"/>
        <c:auto val="1"/>
        <c:lblAlgn val="ctr"/>
        <c:lblOffset val="100"/>
        <c:noMultiLvlLbl val="0"/>
      </c:catAx>
      <c:valAx>
        <c:axId val="4408658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858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Earning per share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analysis'!$A$48</c:f>
              <c:strCache>
                <c:ptCount val="1"/>
                <c:pt idx="0">
                  <c:v>QNB</c:v>
                </c:pt>
              </c:strCache>
            </c:strRef>
          </c:tx>
          <c:spPr>
            <a:ln w="22225" cap="rnd" cmpd="sng" algn="ctr">
              <a:solidFill>
                <a:schemeClr val="accent1"/>
              </a:solidFill>
              <a:round/>
            </a:ln>
            <a:effectLst/>
          </c:spPr>
          <c:marker>
            <c:symbol val="none"/>
          </c:marker>
          <c:cat>
            <c:numRef>
              <c:f>'Cross-sectional ratios analysis'!$B$47:$F$47</c:f>
              <c:numCache>
                <c:formatCode>General</c:formatCode>
                <c:ptCount val="5"/>
                <c:pt idx="0">
                  <c:v>2015</c:v>
                </c:pt>
                <c:pt idx="1">
                  <c:v>2016</c:v>
                </c:pt>
                <c:pt idx="2">
                  <c:v>2017</c:v>
                </c:pt>
                <c:pt idx="3">
                  <c:v>2018</c:v>
                </c:pt>
                <c:pt idx="4">
                  <c:v>2019</c:v>
                </c:pt>
              </c:numCache>
            </c:numRef>
          </c:cat>
          <c:val>
            <c:numRef>
              <c:f>'Cross-sectional ratios analysis'!$B$48:$F$48</c:f>
              <c:numCache>
                <c:formatCode>0.00</c:formatCode>
                <c:ptCount val="5"/>
                <c:pt idx="0">
                  <c:v>4.28</c:v>
                </c:pt>
                <c:pt idx="1">
                  <c:v>4.05</c:v>
                </c:pt>
                <c:pt idx="2">
                  <c:v>5.34</c:v>
                </c:pt>
                <c:pt idx="3">
                  <c:v>6.34</c:v>
                </c:pt>
                <c:pt idx="4">
                  <c:v>7.63</c:v>
                </c:pt>
              </c:numCache>
            </c:numRef>
          </c:val>
          <c:smooth val="0"/>
          <c:extLst>
            <c:ext xmlns:c16="http://schemas.microsoft.com/office/drawing/2014/chart" uri="{C3380CC4-5D6E-409C-BE32-E72D297353CC}">
              <c16:uniqueId val="{00000000-FDD6-47EB-B68B-F4009B006159}"/>
            </c:ext>
          </c:extLst>
        </c:ser>
        <c:ser>
          <c:idx val="1"/>
          <c:order val="1"/>
          <c:tx>
            <c:strRef>
              <c:f>'Cross-sectional ratios analysis'!$A$49</c:f>
              <c:strCache>
                <c:ptCount val="1"/>
                <c:pt idx="0">
                  <c:v>AAIB</c:v>
                </c:pt>
              </c:strCache>
            </c:strRef>
          </c:tx>
          <c:spPr>
            <a:ln w="22225" cap="rnd" cmpd="sng" algn="ctr">
              <a:solidFill>
                <a:schemeClr val="accent2"/>
              </a:solidFill>
              <a:round/>
            </a:ln>
            <a:effectLst/>
          </c:spPr>
          <c:marker>
            <c:symbol val="none"/>
          </c:marker>
          <c:cat>
            <c:numRef>
              <c:f>'Cross-sectional ratios analysis'!$B$47:$F$47</c:f>
              <c:numCache>
                <c:formatCode>General</c:formatCode>
                <c:ptCount val="5"/>
                <c:pt idx="0">
                  <c:v>2015</c:v>
                </c:pt>
                <c:pt idx="1">
                  <c:v>2016</c:v>
                </c:pt>
                <c:pt idx="2">
                  <c:v>2017</c:v>
                </c:pt>
                <c:pt idx="3">
                  <c:v>2018</c:v>
                </c:pt>
                <c:pt idx="4">
                  <c:v>2019</c:v>
                </c:pt>
              </c:numCache>
            </c:numRef>
          </c:cat>
          <c:val>
            <c:numRef>
              <c:f>'Cross-sectional ratios analysis'!$B$49:$F$49</c:f>
              <c:numCache>
                <c:formatCode>0.00</c:formatCode>
                <c:ptCount val="5"/>
                <c:pt idx="0">
                  <c:v>9.8800000000000008</c:v>
                </c:pt>
                <c:pt idx="1">
                  <c:v>11.8</c:v>
                </c:pt>
                <c:pt idx="2">
                  <c:v>2.38</c:v>
                </c:pt>
                <c:pt idx="3">
                  <c:v>2.4</c:v>
                </c:pt>
                <c:pt idx="4">
                  <c:v>1.73</c:v>
                </c:pt>
              </c:numCache>
            </c:numRef>
          </c:val>
          <c:smooth val="0"/>
          <c:extLst>
            <c:ext xmlns:c16="http://schemas.microsoft.com/office/drawing/2014/chart" uri="{C3380CC4-5D6E-409C-BE32-E72D297353CC}">
              <c16:uniqueId val="{00000001-FDD6-47EB-B68B-F4009B00615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866624"/>
        <c:axId val="440893280"/>
      </c:lineChart>
      <c:catAx>
        <c:axId val="4408666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93280"/>
        <c:crosses val="autoZero"/>
        <c:auto val="1"/>
        <c:lblAlgn val="ctr"/>
        <c:lblOffset val="100"/>
        <c:noMultiLvlLbl val="0"/>
      </c:catAx>
      <c:valAx>
        <c:axId val="44089328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662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interest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ratios'!$B$56:$F$56</c:f>
              <c:numCache>
                <c:formatCode>General</c:formatCode>
                <c:ptCount val="5"/>
                <c:pt idx="0">
                  <c:v>2015</c:v>
                </c:pt>
                <c:pt idx="1">
                  <c:v>2016</c:v>
                </c:pt>
                <c:pt idx="2">
                  <c:v>2017</c:v>
                </c:pt>
                <c:pt idx="3">
                  <c:v>2018</c:v>
                </c:pt>
                <c:pt idx="4">
                  <c:v>2019</c:v>
                </c:pt>
              </c:numCache>
            </c:numRef>
          </c:cat>
          <c:val>
            <c:numRef>
              <c:f>'[final (2).xlsx]QNB ratios'!$B$57:$F$57</c:f>
              <c:numCache>
                <c:formatCode>0.00%</c:formatCode>
                <c:ptCount val="5"/>
                <c:pt idx="0">
                  <c:v>3.9381810047276318E-2</c:v>
                </c:pt>
                <c:pt idx="1">
                  <c:v>3.8758489763722058E-2</c:v>
                </c:pt>
                <c:pt idx="2">
                  <c:v>4.0327552749538684E-2</c:v>
                </c:pt>
                <c:pt idx="3">
                  <c:v>4.4076053751893489E-2</c:v>
                </c:pt>
                <c:pt idx="4">
                  <c:v>6.1071505852225469E-2</c:v>
                </c:pt>
              </c:numCache>
            </c:numRef>
          </c:val>
          <c:smooth val="0"/>
          <c:extLst>
            <c:ext xmlns:c16="http://schemas.microsoft.com/office/drawing/2014/chart" uri="{C3380CC4-5D6E-409C-BE32-E72D297353CC}">
              <c16:uniqueId val="{00000000-02B4-4540-803F-C2055B22D65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1984"/>
        <c:axId val="470010024"/>
      </c:lineChart>
      <c:catAx>
        <c:axId val="4700119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0024"/>
        <c:crosses val="autoZero"/>
        <c:auto val="1"/>
        <c:lblAlgn val="ctr"/>
        <c:lblOffset val="100"/>
        <c:noMultiLvlLbl val="0"/>
      </c:catAx>
      <c:valAx>
        <c:axId val="470010024"/>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198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Profit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analysis'!$A$24</c:f>
              <c:strCache>
                <c:ptCount val="1"/>
                <c:pt idx="0">
                  <c:v>QNB</c:v>
                </c:pt>
              </c:strCache>
            </c:strRef>
          </c:tx>
          <c:spPr>
            <a:ln w="22225" cap="rnd" cmpd="sng" algn="ctr">
              <a:solidFill>
                <a:schemeClr val="accent1"/>
              </a:solidFill>
              <a:round/>
            </a:ln>
            <a:effectLst/>
          </c:spPr>
          <c:marker>
            <c:symbol val="none"/>
          </c:marker>
          <c:cat>
            <c:numRef>
              <c:f>'Cross-sectional ratios analysis'!$B$23:$F$23</c:f>
              <c:numCache>
                <c:formatCode>General</c:formatCode>
                <c:ptCount val="5"/>
                <c:pt idx="0">
                  <c:v>2015</c:v>
                </c:pt>
                <c:pt idx="1">
                  <c:v>2016</c:v>
                </c:pt>
                <c:pt idx="2">
                  <c:v>2017</c:v>
                </c:pt>
                <c:pt idx="3">
                  <c:v>2018</c:v>
                </c:pt>
                <c:pt idx="4">
                  <c:v>2019</c:v>
                </c:pt>
              </c:numCache>
            </c:numRef>
          </c:cat>
          <c:val>
            <c:numRef>
              <c:f>'Cross-sectional ratios analysis'!$B$24:$F$24</c:f>
              <c:numCache>
                <c:formatCode>0%</c:formatCode>
                <c:ptCount val="5"/>
                <c:pt idx="0">
                  <c:v>0.49689302074441327</c:v>
                </c:pt>
                <c:pt idx="1">
                  <c:v>0.32259942524453677</c:v>
                </c:pt>
                <c:pt idx="2">
                  <c:v>0.51118189855575158</c:v>
                </c:pt>
                <c:pt idx="3">
                  <c:v>0.53707080803953045</c:v>
                </c:pt>
                <c:pt idx="4">
                  <c:v>0.53443003159128399</c:v>
                </c:pt>
              </c:numCache>
            </c:numRef>
          </c:val>
          <c:smooth val="0"/>
          <c:extLst>
            <c:ext xmlns:c16="http://schemas.microsoft.com/office/drawing/2014/chart" uri="{C3380CC4-5D6E-409C-BE32-E72D297353CC}">
              <c16:uniqueId val="{00000000-6E47-4B05-899B-800AF9672D7C}"/>
            </c:ext>
          </c:extLst>
        </c:ser>
        <c:ser>
          <c:idx val="1"/>
          <c:order val="1"/>
          <c:tx>
            <c:strRef>
              <c:f>'Cross-sectional ratios analysis'!$A$25</c:f>
              <c:strCache>
                <c:ptCount val="1"/>
                <c:pt idx="0">
                  <c:v>AAIB</c:v>
                </c:pt>
              </c:strCache>
            </c:strRef>
          </c:tx>
          <c:spPr>
            <a:ln w="22225" cap="rnd" cmpd="sng" algn="ctr">
              <a:solidFill>
                <a:schemeClr val="accent2"/>
              </a:solidFill>
              <a:round/>
            </a:ln>
            <a:effectLst/>
          </c:spPr>
          <c:marker>
            <c:symbol val="none"/>
          </c:marker>
          <c:cat>
            <c:numRef>
              <c:f>'Cross-sectional ratios analysis'!$B$23:$F$23</c:f>
              <c:numCache>
                <c:formatCode>General</c:formatCode>
                <c:ptCount val="5"/>
                <c:pt idx="0">
                  <c:v>2015</c:v>
                </c:pt>
                <c:pt idx="1">
                  <c:v>2016</c:v>
                </c:pt>
                <c:pt idx="2">
                  <c:v>2017</c:v>
                </c:pt>
                <c:pt idx="3">
                  <c:v>2018</c:v>
                </c:pt>
                <c:pt idx="4">
                  <c:v>2019</c:v>
                </c:pt>
              </c:numCache>
            </c:numRef>
          </c:cat>
          <c:val>
            <c:numRef>
              <c:f>'Cross-sectional ratios analysis'!$B$25:$F$25</c:f>
              <c:numCache>
                <c:formatCode>0%</c:formatCode>
                <c:ptCount val="5"/>
                <c:pt idx="0">
                  <c:v>0.46203343971139171</c:v>
                </c:pt>
                <c:pt idx="1">
                  <c:v>0.48525508898139541</c:v>
                </c:pt>
                <c:pt idx="2">
                  <c:v>0.63277618312897332</c:v>
                </c:pt>
                <c:pt idx="3">
                  <c:v>0.6213502534252372</c:v>
                </c:pt>
                <c:pt idx="4">
                  <c:v>0.42895243141066941</c:v>
                </c:pt>
              </c:numCache>
            </c:numRef>
          </c:val>
          <c:smooth val="0"/>
          <c:extLst>
            <c:ext xmlns:c16="http://schemas.microsoft.com/office/drawing/2014/chart" uri="{C3380CC4-5D6E-409C-BE32-E72D297353CC}">
              <c16:uniqueId val="{00000001-6E47-4B05-899B-800AF9672D7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142576"/>
        <c:axId val="209147672"/>
      </c:lineChart>
      <c:catAx>
        <c:axId val="2091425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7672"/>
        <c:crosses val="autoZero"/>
        <c:auto val="1"/>
        <c:lblAlgn val="ctr"/>
        <c:lblOffset val="100"/>
        <c:noMultiLvlLbl val="0"/>
      </c:catAx>
      <c:valAx>
        <c:axId val="20914767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25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Asset Utilization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analysis'!$A$28</c:f>
              <c:strCache>
                <c:ptCount val="1"/>
                <c:pt idx="0">
                  <c:v>QNB</c:v>
                </c:pt>
              </c:strCache>
            </c:strRef>
          </c:tx>
          <c:spPr>
            <a:ln w="22225" cap="rnd" cmpd="sng" algn="ctr">
              <a:solidFill>
                <a:schemeClr val="accent1"/>
              </a:solidFill>
              <a:round/>
            </a:ln>
            <a:effectLst/>
          </c:spPr>
          <c:marker>
            <c:symbol val="none"/>
          </c:marker>
          <c:cat>
            <c:numRef>
              <c:f>'Cross-sectional ratios analysis'!$B$27:$F$27</c:f>
              <c:numCache>
                <c:formatCode>General</c:formatCode>
                <c:ptCount val="5"/>
                <c:pt idx="0">
                  <c:v>2015</c:v>
                </c:pt>
                <c:pt idx="1">
                  <c:v>2016</c:v>
                </c:pt>
                <c:pt idx="2">
                  <c:v>2017</c:v>
                </c:pt>
                <c:pt idx="3">
                  <c:v>2018</c:v>
                </c:pt>
                <c:pt idx="4">
                  <c:v>2019</c:v>
                </c:pt>
              </c:numCache>
            </c:numRef>
          </c:cat>
          <c:val>
            <c:numRef>
              <c:f>'Cross-sectional ratios analysis'!$B$28:$F$28</c:f>
              <c:numCache>
                <c:formatCode>0%</c:formatCode>
                <c:ptCount val="5"/>
                <c:pt idx="0">
                  <c:v>4.7393770383692926E-2</c:v>
                </c:pt>
                <c:pt idx="1">
                  <c:v>4.4916970094751513E-2</c:v>
                </c:pt>
                <c:pt idx="2">
                  <c:v>4.7155144668137659E-2</c:v>
                </c:pt>
                <c:pt idx="3">
                  <c:v>5.0836661347332203E-2</c:v>
                </c:pt>
                <c:pt idx="4">
                  <c:v>5.7901219914590775E-2</c:v>
                </c:pt>
              </c:numCache>
            </c:numRef>
          </c:val>
          <c:smooth val="0"/>
          <c:extLst>
            <c:ext xmlns:c16="http://schemas.microsoft.com/office/drawing/2014/chart" uri="{C3380CC4-5D6E-409C-BE32-E72D297353CC}">
              <c16:uniqueId val="{00000000-80E2-476C-B0CE-204B4AF74291}"/>
            </c:ext>
          </c:extLst>
        </c:ser>
        <c:ser>
          <c:idx val="1"/>
          <c:order val="1"/>
          <c:tx>
            <c:strRef>
              <c:f>'Cross-sectional ratios analysis'!$A$29</c:f>
              <c:strCache>
                <c:ptCount val="1"/>
                <c:pt idx="0">
                  <c:v>AAIB</c:v>
                </c:pt>
              </c:strCache>
            </c:strRef>
          </c:tx>
          <c:spPr>
            <a:ln w="22225" cap="rnd" cmpd="sng" algn="ctr">
              <a:solidFill>
                <a:schemeClr val="accent2"/>
              </a:solidFill>
              <a:round/>
            </a:ln>
            <a:effectLst/>
          </c:spPr>
          <c:marker>
            <c:symbol val="none"/>
          </c:marker>
          <c:cat>
            <c:numRef>
              <c:f>'Cross-sectional ratios analysis'!$B$27:$F$27</c:f>
              <c:numCache>
                <c:formatCode>General</c:formatCode>
                <c:ptCount val="5"/>
                <c:pt idx="0">
                  <c:v>2015</c:v>
                </c:pt>
                <c:pt idx="1">
                  <c:v>2016</c:v>
                </c:pt>
                <c:pt idx="2">
                  <c:v>2017</c:v>
                </c:pt>
                <c:pt idx="3">
                  <c:v>2018</c:v>
                </c:pt>
                <c:pt idx="4">
                  <c:v>2019</c:v>
                </c:pt>
              </c:numCache>
            </c:numRef>
          </c:cat>
          <c:val>
            <c:numRef>
              <c:f>'Cross-sectional ratios analysis'!$B$29:$F$29</c:f>
              <c:numCache>
                <c:formatCode>0%</c:formatCode>
                <c:ptCount val="5"/>
                <c:pt idx="0">
                  <c:v>3.4247042193578416E-2</c:v>
                </c:pt>
                <c:pt idx="1">
                  <c:v>5.2028202006438602E-2</c:v>
                </c:pt>
                <c:pt idx="2">
                  <c:v>3.3834577330688197E-2</c:v>
                </c:pt>
                <c:pt idx="3">
                  <c:v>3.688167857885729E-2</c:v>
                </c:pt>
                <c:pt idx="4">
                  <c:v>3.7066179841299125E-2</c:v>
                </c:pt>
              </c:numCache>
            </c:numRef>
          </c:val>
          <c:smooth val="0"/>
          <c:extLst>
            <c:ext xmlns:c16="http://schemas.microsoft.com/office/drawing/2014/chart" uri="{C3380CC4-5D6E-409C-BE32-E72D297353CC}">
              <c16:uniqueId val="{00000001-80E2-476C-B0CE-204B4AF7429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146104"/>
        <c:axId val="209146888"/>
      </c:lineChart>
      <c:catAx>
        <c:axId val="20914610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6888"/>
        <c:crosses val="autoZero"/>
        <c:auto val="1"/>
        <c:lblAlgn val="ctr"/>
        <c:lblOffset val="100"/>
        <c:noMultiLvlLbl val="0"/>
      </c:catAx>
      <c:valAx>
        <c:axId val="209146888"/>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610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Equity Multiplier</a:t>
            </a:r>
          </a:p>
        </c:rich>
      </c:tx>
      <c:layout>
        <c:manualLayout>
          <c:xMode val="edge"/>
          <c:yMode val="edge"/>
          <c:x val="0.37865966754155728"/>
          <c:y val="3.7037037037037035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analysis'!$A$32</c:f>
              <c:strCache>
                <c:ptCount val="1"/>
                <c:pt idx="0">
                  <c:v>QNB</c:v>
                </c:pt>
              </c:strCache>
            </c:strRef>
          </c:tx>
          <c:spPr>
            <a:ln w="22225" cap="rnd" cmpd="sng" algn="ctr">
              <a:solidFill>
                <a:schemeClr val="accent1"/>
              </a:solidFill>
              <a:round/>
            </a:ln>
            <a:effectLst/>
          </c:spPr>
          <c:marker>
            <c:symbol val="none"/>
          </c:marker>
          <c:cat>
            <c:numRef>
              <c:f>'Cross-sectional ratios analysis'!$B$31:$F$31</c:f>
              <c:numCache>
                <c:formatCode>General</c:formatCode>
                <c:ptCount val="5"/>
                <c:pt idx="0">
                  <c:v>2015</c:v>
                </c:pt>
                <c:pt idx="1">
                  <c:v>2016</c:v>
                </c:pt>
                <c:pt idx="2">
                  <c:v>2017</c:v>
                </c:pt>
                <c:pt idx="3">
                  <c:v>2018</c:v>
                </c:pt>
                <c:pt idx="4">
                  <c:v>2019</c:v>
                </c:pt>
              </c:numCache>
            </c:numRef>
          </c:cat>
          <c:val>
            <c:numRef>
              <c:f>'Cross-sectional ratios analysis'!$B$32:$F$32</c:f>
              <c:numCache>
                <c:formatCode>0.00</c:formatCode>
                <c:ptCount val="5"/>
                <c:pt idx="0">
                  <c:v>8.924986338552122</c:v>
                </c:pt>
                <c:pt idx="1">
                  <c:v>11.291295406001508</c:v>
                </c:pt>
                <c:pt idx="2">
                  <c:v>10.069282823768811</c:v>
                </c:pt>
                <c:pt idx="3">
                  <c:v>9.1472998938260357</c:v>
                </c:pt>
                <c:pt idx="4">
                  <c:v>7.8681997905557424</c:v>
                </c:pt>
              </c:numCache>
            </c:numRef>
          </c:val>
          <c:smooth val="0"/>
          <c:extLst>
            <c:ext xmlns:c16="http://schemas.microsoft.com/office/drawing/2014/chart" uri="{C3380CC4-5D6E-409C-BE32-E72D297353CC}">
              <c16:uniqueId val="{00000000-2B67-41DB-8BEA-C8D4C648941C}"/>
            </c:ext>
          </c:extLst>
        </c:ser>
        <c:ser>
          <c:idx val="1"/>
          <c:order val="1"/>
          <c:tx>
            <c:strRef>
              <c:f>'Cross-sectional ratios analysis'!$A$33</c:f>
              <c:strCache>
                <c:ptCount val="1"/>
                <c:pt idx="0">
                  <c:v>AAIB</c:v>
                </c:pt>
              </c:strCache>
            </c:strRef>
          </c:tx>
          <c:spPr>
            <a:ln w="22225" cap="rnd" cmpd="sng" algn="ctr">
              <a:solidFill>
                <a:schemeClr val="accent2"/>
              </a:solidFill>
              <a:round/>
            </a:ln>
            <a:effectLst/>
          </c:spPr>
          <c:marker>
            <c:symbol val="none"/>
          </c:marker>
          <c:cat>
            <c:numRef>
              <c:f>'Cross-sectional ratios analysis'!$B$31:$F$31</c:f>
              <c:numCache>
                <c:formatCode>General</c:formatCode>
                <c:ptCount val="5"/>
                <c:pt idx="0">
                  <c:v>2015</c:v>
                </c:pt>
                <c:pt idx="1">
                  <c:v>2016</c:v>
                </c:pt>
                <c:pt idx="2">
                  <c:v>2017</c:v>
                </c:pt>
                <c:pt idx="3">
                  <c:v>2018</c:v>
                </c:pt>
                <c:pt idx="4">
                  <c:v>2019</c:v>
                </c:pt>
              </c:numCache>
            </c:numRef>
          </c:cat>
          <c:val>
            <c:numRef>
              <c:f>'Cross-sectional ratios analysis'!$B$33:$F$33</c:f>
              <c:numCache>
                <c:formatCode>0.00</c:formatCode>
                <c:ptCount val="5"/>
                <c:pt idx="0">
                  <c:v>10.1687982127177</c:v>
                </c:pt>
                <c:pt idx="1">
                  <c:v>6.6086391176260388</c:v>
                </c:pt>
                <c:pt idx="2">
                  <c:v>6.9608589393621241</c:v>
                </c:pt>
                <c:pt idx="3">
                  <c:v>6.1579277274913915</c:v>
                </c:pt>
                <c:pt idx="4">
                  <c:v>6.2280687388802543</c:v>
                </c:pt>
              </c:numCache>
            </c:numRef>
          </c:val>
          <c:smooth val="0"/>
          <c:extLst>
            <c:ext xmlns:c16="http://schemas.microsoft.com/office/drawing/2014/chart" uri="{C3380CC4-5D6E-409C-BE32-E72D297353CC}">
              <c16:uniqueId val="{00000001-2B67-41DB-8BEA-C8D4C648941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861920"/>
        <c:axId val="440861528"/>
      </c:lineChart>
      <c:catAx>
        <c:axId val="4408619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1528"/>
        <c:crosses val="autoZero"/>
        <c:auto val="1"/>
        <c:lblAlgn val="ctr"/>
        <c:lblOffset val="100"/>
        <c:noMultiLvlLbl val="0"/>
      </c:catAx>
      <c:valAx>
        <c:axId val="44086152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19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Tax Management  Efficiency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analysis'!$A$36</c:f>
              <c:strCache>
                <c:ptCount val="1"/>
                <c:pt idx="0">
                  <c:v>QNB</c:v>
                </c:pt>
              </c:strCache>
            </c:strRef>
          </c:tx>
          <c:spPr>
            <a:ln w="22225" cap="rnd" cmpd="sng" algn="ctr">
              <a:solidFill>
                <a:schemeClr val="accent1"/>
              </a:solidFill>
              <a:round/>
            </a:ln>
            <a:effectLst/>
          </c:spPr>
          <c:marker>
            <c:symbol val="none"/>
          </c:marker>
          <c:cat>
            <c:numRef>
              <c:f>'Cross-sectional ratios analysis'!$B$35:$F$35</c:f>
              <c:numCache>
                <c:formatCode>General</c:formatCode>
                <c:ptCount val="5"/>
                <c:pt idx="0">
                  <c:v>2015</c:v>
                </c:pt>
                <c:pt idx="1">
                  <c:v>2016</c:v>
                </c:pt>
                <c:pt idx="2">
                  <c:v>2017</c:v>
                </c:pt>
                <c:pt idx="3">
                  <c:v>2018</c:v>
                </c:pt>
                <c:pt idx="4">
                  <c:v>2019</c:v>
                </c:pt>
              </c:numCache>
            </c:numRef>
          </c:cat>
          <c:val>
            <c:numRef>
              <c:f>'Cross-sectional ratios analysis'!$B$36:$F$36</c:f>
              <c:numCache>
                <c:formatCode>0%</c:formatCode>
                <c:ptCount val="5"/>
                <c:pt idx="0">
                  <c:v>0.75544858388885816</c:v>
                </c:pt>
                <c:pt idx="1">
                  <c:v>0.67213915694833859</c:v>
                </c:pt>
                <c:pt idx="2">
                  <c:v>0.74919103648335583</c:v>
                </c:pt>
                <c:pt idx="3">
                  <c:v>0.73351518097683055</c:v>
                </c:pt>
                <c:pt idx="4">
                  <c:v>0.74480774205165923</c:v>
                </c:pt>
              </c:numCache>
            </c:numRef>
          </c:val>
          <c:smooth val="0"/>
          <c:extLst>
            <c:ext xmlns:c16="http://schemas.microsoft.com/office/drawing/2014/chart" uri="{C3380CC4-5D6E-409C-BE32-E72D297353CC}">
              <c16:uniqueId val="{00000000-344B-4221-B479-245AA803C6CC}"/>
            </c:ext>
          </c:extLst>
        </c:ser>
        <c:ser>
          <c:idx val="1"/>
          <c:order val="1"/>
          <c:tx>
            <c:strRef>
              <c:f>'Cross-sectional ratios analysis'!$A$37</c:f>
              <c:strCache>
                <c:ptCount val="1"/>
                <c:pt idx="0">
                  <c:v>AAIB</c:v>
                </c:pt>
              </c:strCache>
            </c:strRef>
          </c:tx>
          <c:spPr>
            <a:ln w="22225" cap="rnd" cmpd="sng" algn="ctr">
              <a:solidFill>
                <a:schemeClr val="accent2"/>
              </a:solidFill>
              <a:round/>
            </a:ln>
            <a:effectLst/>
          </c:spPr>
          <c:marker>
            <c:symbol val="none"/>
          </c:marker>
          <c:cat>
            <c:numRef>
              <c:f>'Cross-sectional ratios analysis'!$B$35:$F$35</c:f>
              <c:numCache>
                <c:formatCode>General</c:formatCode>
                <c:ptCount val="5"/>
                <c:pt idx="0">
                  <c:v>2015</c:v>
                </c:pt>
                <c:pt idx="1">
                  <c:v>2016</c:v>
                </c:pt>
                <c:pt idx="2">
                  <c:v>2017</c:v>
                </c:pt>
                <c:pt idx="3">
                  <c:v>2018</c:v>
                </c:pt>
                <c:pt idx="4">
                  <c:v>2019</c:v>
                </c:pt>
              </c:numCache>
            </c:numRef>
          </c:cat>
          <c:val>
            <c:numRef>
              <c:f>'Cross-sectional ratios analysis'!$B$37:$F$37</c:f>
              <c:numCache>
                <c:formatCode>0%</c:formatCode>
                <c:ptCount val="5"/>
                <c:pt idx="0">
                  <c:v>0.69913818273675365</c:v>
                </c:pt>
                <c:pt idx="1">
                  <c:v>0.73618592972160179</c:v>
                </c:pt>
                <c:pt idx="2">
                  <c:v>0.76278432414519903</c:v>
                </c:pt>
                <c:pt idx="3">
                  <c:v>0.76420975324848062</c:v>
                </c:pt>
                <c:pt idx="4">
                  <c:v>0.68824381177419824</c:v>
                </c:pt>
              </c:numCache>
            </c:numRef>
          </c:val>
          <c:smooth val="0"/>
          <c:extLst>
            <c:ext xmlns:c16="http://schemas.microsoft.com/office/drawing/2014/chart" uri="{C3380CC4-5D6E-409C-BE32-E72D297353CC}">
              <c16:uniqueId val="{00000001-344B-4221-B479-245AA803C6C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862704"/>
        <c:axId val="440864664"/>
      </c:lineChart>
      <c:catAx>
        <c:axId val="44086270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4664"/>
        <c:crosses val="autoZero"/>
        <c:auto val="1"/>
        <c:lblAlgn val="ctr"/>
        <c:lblOffset val="100"/>
        <c:noMultiLvlLbl val="0"/>
      </c:catAx>
      <c:valAx>
        <c:axId val="440864664"/>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86270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Operating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analysis'!$A$7</c:f>
              <c:strCache>
                <c:ptCount val="1"/>
                <c:pt idx="0">
                  <c:v>QNB</c:v>
                </c:pt>
              </c:strCache>
            </c:strRef>
          </c:tx>
          <c:spPr>
            <a:ln w="22225" cap="rnd" cmpd="sng" algn="ctr">
              <a:solidFill>
                <a:schemeClr val="accent1"/>
              </a:solidFill>
              <a:round/>
            </a:ln>
            <a:effectLst/>
          </c:spPr>
          <c:marker>
            <c:symbol val="none"/>
          </c:marker>
          <c:val>
            <c:numRef>
              <c:f>'Cross-sectional ratios analysis'!$B$7:$F$7</c:f>
              <c:numCache>
                <c:formatCode>0%</c:formatCode>
                <c:ptCount val="5"/>
                <c:pt idx="0">
                  <c:v>3.1173046362987053E-2</c:v>
                </c:pt>
                <c:pt idx="1">
                  <c:v>2.1558316587418545E-2</c:v>
                </c:pt>
                <c:pt idx="2">
                  <c:v>3.2174512513225E-2</c:v>
                </c:pt>
                <c:pt idx="3">
                  <c:v>3.7221979170879743E-2</c:v>
                </c:pt>
                <c:pt idx="4">
                  <c:v>4.1546494539502744E-2</c:v>
                </c:pt>
              </c:numCache>
            </c:numRef>
          </c:val>
          <c:smooth val="0"/>
          <c:extLst>
            <c:ext xmlns:c16="http://schemas.microsoft.com/office/drawing/2014/chart" uri="{C3380CC4-5D6E-409C-BE32-E72D297353CC}">
              <c16:uniqueId val="{00000000-E769-4624-949A-AE38C0956691}"/>
            </c:ext>
          </c:extLst>
        </c:ser>
        <c:ser>
          <c:idx val="1"/>
          <c:order val="1"/>
          <c:tx>
            <c:strRef>
              <c:f>'Cross-sectional ratios analysis'!$A$8</c:f>
              <c:strCache>
                <c:ptCount val="1"/>
                <c:pt idx="0">
                  <c:v>AAIB</c:v>
                </c:pt>
              </c:strCache>
            </c:strRef>
          </c:tx>
          <c:spPr>
            <a:ln w="22225" cap="rnd" cmpd="sng" algn="ctr">
              <a:solidFill>
                <a:schemeClr val="accent2"/>
              </a:solidFill>
              <a:round/>
            </a:ln>
            <a:effectLst/>
          </c:spPr>
          <c:marker>
            <c:symbol val="none"/>
          </c:marker>
          <c:val>
            <c:numRef>
              <c:f>'Cross-sectional ratios analysis'!$B$8:$F$8</c:f>
              <c:numCache>
                <c:formatCode>0%</c:formatCode>
                <c:ptCount val="5"/>
                <c:pt idx="0">
                  <c:v>2.2632548322136389E-2</c:v>
                </c:pt>
                <c:pt idx="1">
                  <c:v>3.4294257435378915E-2</c:v>
                </c:pt>
                <c:pt idx="2">
                  <c:v>2.8067848307039355E-2</c:v>
                </c:pt>
                <c:pt idx="3">
                  <c:v>2.9987107903698667E-2</c:v>
                </c:pt>
                <c:pt idx="4">
                  <c:v>2.3101737631382895E-2</c:v>
                </c:pt>
              </c:numCache>
            </c:numRef>
          </c:val>
          <c:smooth val="0"/>
          <c:extLst>
            <c:ext xmlns:c16="http://schemas.microsoft.com/office/drawing/2014/chart" uri="{C3380CC4-5D6E-409C-BE32-E72D297353CC}">
              <c16:uniqueId val="{00000001-E769-4624-949A-AE38C095669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148064"/>
        <c:axId val="209148456"/>
      </c:lineChart>
      <c:catAx>
        <c:axId val="209148064"/>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8456"/>
        <c:crosses val="autoZero"/>
        <c:auto val="1"/>
        <c:lblAlgn val="ctr"/>
        <c:lblOffset val="100"/>
        <c:noMultiLvlLbl val="0"/>
      </c:catAx>
      <c:valAx>
        <c:axId val="2091484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806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Return on Equity (ROE)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'Cross-sectional ratios analysis'!$A$19</c:f>
              <c:strCache>
                <c:ptCount val="1"/>
                <c:pt idx="0">
                  <c:v>QNB</c:v>
                </c:pt>
              </c:strCache>
            </c:strRef>
          </c:tx>
          <c:spPr>
            <a:ln w="22225" cap="rnd" cmpd="sng" algn="ctr">
              <a:solidFill>
                <a:schemeClr val="accent1"/>
              </a:solidFill>
              <a:round/>
            </a:ln>
            <a:effectLst/>
          </c:spPr>
          <c:marker>
            <c:symbol val="none"/>
          </c:marker>
          <c:cat>
            <c:numRef>
              <c:f>'Cross-sectional ratios analysis'!$B$18:$F$18</c:f>
              <c:numCache>
                <c:formatCode>General</c:formatCode>
                <c:ptCount val="5"/>
                <c:pt idx="0">
                  <c:v>2015</c:v>
                </c:pt>
                <c:pt idx="1">
                  <c:v>2016</c:v>
                </c:pt>
                <c:pt idx="2">
                  <c:v>2017</c:v>
                </c:pt>
                <c:pt idx="3">
                  <c:v>2018</c:v>
                </c:pt>
                <c:pt idx="4">
                  <c:v>2019</c:v>
                </c:pt>
              </c:numCache>
            </c:numRef>
          </c:cat>
          <c:val>
            <c:numRef>
              <c:f>'Cross-sectional ratios analysis'!$B$19:$F$19</c:f>
              <c:numCache>
                <c:formatCode>0%</c:formatCode>
                <c:ptCount val="5"/>
                <c:pt idx="0">
                  <c:v>0.21018015932190734</c:v>
                </c:pt>
                <c:pt idx="1">
                  <c:v>0.16361300151019864</c:v>
                </c:pt>
                <c:pt idx="2">
                  <c:v>0.24271861629771582</c:v>
                </c:pt>
                <c:pt idx="3">
                  <c:v>0.24974769341558672</c:v>
                </c:pt>
                <c:pt idx="4">
                  <c:v>0.24347476075007898</c:v>
                </c:pt>
              </c:numCache>
            </c:numRef>
          </c:val>
          <c:smooth val="0"/>
          <c:extLst>
            <c:ext xmlns:c16="http://schemas.microsoft.com/office/drawing/2014/chart" uri="{C3380CC4-5D6E-409C-BE32-E72D297353CC}">
              <c16:uniqueId val="{00000000-78D7-464E-9640-8A3D14D91740}"/>
            </c:ext>
          </c:extLst>
        </c:ser>
        <c:ser>
          <c:idx val="1"/>
          <c:order val="1"/>
          <c:tx>
            <c:strRef>
              <c:f>'Cross-sectional ratios analysis'!$A$20</c:f>
              <c:strCache>
                <c:ptCount val="1"/>
                <c:pt idx="0">
                  <c:v>AAIB</c:v>
                </c:pt>
              </c:strCache>
            </c:strRef>
          </c:tx>
          <c:spPr>
            <a:ln w="22225" cap="rnd" cmpd="sng" algn="ctr">
              <a:solidFill>
                <a:schemeClr val="accent2"/>
              </a:solidFill>
              <a:round/>
            </a:ln>
            <a:effectLst/>
          </c:spPr>
          <c:marker>
            <c:symbol val="none"/>
          </c:marker>
          <c:cat>
            <c:numRef>
              <c:f>'Cross-sectional ratios analysis'!$B$18:$F$18</c:f>
              <c:numCache>
                <c:formatCode>General</c:formatCode>
                <c:ptCount val="5"/>
                <c:pt idx="0">
                  <c:v>2015</c:v>
                </c:pt>
                <c:pt idx="1">
                  <c:v>2016</c:v>
                </c:pt>
                <c:pt idx="2">
                  <c:v>2017</c:v>
                </c:pt>
                <c:pt idx="3">
                  <c:v>2018</c:v>
                </c:pt>
                <c:pt idx="4">
                  <c:v>2019</c:v>
                </c:pt>
              </c:numCache>
            </c:numRef>
          </c:cat>
          <c:val>
            <c:numRef>
              <c:f>'Cross-sectional ratios analysis'!$B$20:$F$20</c:f>
              <c:numCache>
                <c:formatCode>0%</c:formatCode>
                <c:ptCount val="5"/>
                <c:pt idx="0">
                  <c:v>0.16090372821107932</c:v>
                </c:pt>
                <c:pt idx="1">
                  <c:v>0.16684798001053469</c:v>
                </c:pt>
                <c:pt idx="2">
                  <c:v>0.14903000396630969</c:v>
                </c:pt>
                <c:pt idx="3">
                  <c:v>0.14111778333410749</c:v>
                </c:pt>
                <c:pt idx="4">
                  <c:v>9.9023975895060179E-2</c:v>
                </c:pt>
              </c:numCache>
            </c:numRef>
          </c:val>
          <c:smooth val="0"/>
          <c:extLst>
            <c:ext xmlns:c16="http://schemas.microsoft.com/office/drawing/2014/chart" uri="{C3380CC4-5D6E-409C-BE32-E72D297353CC}">
              <c16:uniqueId val="{00000001-78D7-464E-9640-8A3D14D9174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143360"/>
        <c:axId val="209145320"/>
      </c:lineChart>
      <c:catAx>
        <c:axId val="2091433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5320"/>
        <c:crosses val="autoZero"/>
        <c:auto val="1"/>
        <c:lblAlgn val="ctr"/>
        <c:lblOffset val="100"/>
        <c:noMultiLvlLbl val="0"/>
      </c:catAx>
      <c:valAx>
        <c:axId val="20914532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1433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Non-Interest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ratios'!$B$53:$F$53</c:f>
              <c:numCache>
                <c:formatCode>General</c:formatCode>
                <c:ptCount val="5"/>
                <c:pt idx="0">
                  <c:v>2015</c:v>
                </c:pt>
                <c:pt idx="1">
                  <c:v>2016</c:v>
                </c:pt>
                <c:pt idx="2">
                  <c:v>2017</c:v>
                </c:pt>
                <c:pt idx="3">
                  <c:v>2018</c:v>
                </c:pt>
                <c:pt idx="4">
                  <c:v>2019</c:v>
                </c:pt>
              </c:numCache>
            </c:numRef>
          </c:cat>
          <c:val>
            <c:numRef>
              <c:f>'[final (2).xlsx]QNB ratios'!$B$54:$F$54</c:f>
              <c:numCache>
                <c:formatCode>0.0%</c:formatCode>
                <c:ptCount val="5"/>
                <c:pt idx="0">
                  <c:v>9.5815453174881455E-3</c:v>
                </c:pt>
                <c:pt idx="1">
                  <c:v>7.5186755456123841E-3</c:v>
                </c:pt>
                <c:pt idx="2">
                  <c:v>8.3562876663925197E-3</c:v>
                </c:pt>
                <c:pt idx="3">
                  <c:v>7.953638968554758E-3</c:v>
                </c:pt>
                <c:pt idx="4">
                  <c:v>9.0152768747614707E-3</c:v>
                </c:pt>
              </c:numCache>
            </c:numRef>
          </c:val>
          <c:smooth val="0"/>
          <c:extLst>
            <c:ext xmlns:c16="http://schemas.microsoft.com/office/drawing/2014/chart" uri="{C3380CC4-5D6E-409C-BE32-E72D297353CC}">
              <c16:uniqueId val="{00000000-1CD4-4620-AEDF-E34139DF677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08064"/>
        <c:axId val="470016296"/>
      </c:lineChart>
      <c:catAx>
        <c:axId val="4700080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6296"/>
        <c:crosses val="autoZero"/>
        <c:auto val="1"/>
        <c:lblAlgn val="ctr"/>
        <c:lblOffset val="100"/>
        <c:noMultiLvlLbl val="0"/>
      </c:catAx>
      <c:valAx>
        <c:axId val="470016296"/>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0806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Return on Equity (ROE)</a:t>
            </a:r>
          </a:p>
        </c:rich>
      </c:tx>
      <c:layout>
        <c:manualLayout>
          <c:xMode val="edge"/>
          <c:yMode val="edge"/>
          <c:x val="0.31477077865266839"/>
          <c:y val="3.2407407407407406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ratios'!$B$65:$F$65</c:f>
              <c:numCache>
                <c:formatCode>General</c:formatCode>
                <c:ptCount val="5"/>
                <c:pt idx="0">
                  <c:v>2015</c:v>
                </c:pt>
                <c:pt idx="1">
                  <c:v>2016</c:v>
                </c:pt>
                <c:pt idx="2">
                  <c:v>2017</c:v>
                </c:pt>
                <c:pt idx="3">
                  <c:v>2018</c:v>
                </c:pt>
                <c:pt idx="4">
                  <c:v>2019</c:v>
                </c:pt>
              </c:numCache>
            </c:numRef>
          </c:cat>
          <c:val>
            <c:numRef>
              <c:f>'[final (2).xlsx]QNB ratios'!$B$66:$F$66</c:f>
              <c:numCache>
                <c:formatCode>0.0%</c:formatCode>
                <c:ptCount val="5"/>
                <c:pt idx="0">
                  <c:v>0.21018015932190734</c:v>
                </c:pt>
                <c:pt idx="1">
                  <c:v>0.16361300151019864</c:v>
                </c:pt>
                <c:pt idx="2">
                  <c:v>0.24271861629771582</c:v>
                </c:pt>
                <c:pt idx="3">
                  <c:v>0.24974769341558672</c:v>
                </c:pt>
                <c:pt idx="4">
                  <c:v>0.24347476075007898</c:v>
                </c:pt>
              </c:numCache>
            </c:numRef>
          </c:val>
          <c:smooth val="0"/>
          <c:extLst>
            <c:ext xmlns:c16="http://schemas.microsoft.com/office/drawing/2014/chart" uri="{C3380CC4-5D6E-409C-BE32-E72D297353CC}">
              <c16:uniqueId val="{00000000-2DE8-438E-A95B-545967E8474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3552"/>
        <c:axId val="470015120"/>
      </c:lineChart>
      <c:catAx>
        <c:axId val="4700135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5120"/>
        <c:crosses val="autoZero"/>
        <c:auto val="1"/>
        <c:lblAlgn val="ctr"/>
        <c:lblOffset val="100"/>
        <c:noMultiLvlLbl val="0"/>
      </c:catAx>
      <c:valAx>
        <c:axId val="470015120"/>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355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Equity multiplier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'QNB ratios'!$A$66</c:f>
              <c:strCache>
                <c:ptCount val="1"/>
                <c:pt idx="0">
                  <c:v>%</c:v>
                </c:pt>
              </c:strCache>
            </c:strRef>
          </c:tx>
          <c:spPr>
            <a:ln w="22225" cap="rnd" cmpd="sng" algn="ctr">
              <a:solidFill>
                <a:schemeClr val="accent1"/>
              </a:solidFill>
              <a:round/>
            </a:ln>
            <a:effectLst/>
          </c:spPr>
          <c:marker>
            <c:symbol val="none"/>
          </c:marker>
          <c:cat>
            <c:strRef>
              <c:f>'QNB ratios'!$B$64:$F$65</c:f>
              <c:strCache>
                <c:ptCount val="5"/>
                <c:pt idx="0">
                  <c:v>2015</c:v>
                </c:pt>
                <c:pt idx="1">
                  <c:v>2016</c:v>
                </c:pt>
                <c:pt idx="2">
                  <c:v>2017</c:v>
                </c:pt>
                <c:pt idx="3">
                  <c:v>2018</c:v>
                </c:pt>
                <c:pt idx="4">
                  <c:v>2019</c:v>
                </c:pt>
              </c:strCache>
            </c:strRef>
          </c:cat>
          <c:val>
            <c:numRef>
              <c:f>'QNB ratios'!$B$66:$F$66</c:f>
              <c:numCache>
                <c:formatCode>0.00</c:formatCode>
                <c:ptCount val="5"/>
                <c:pt idx="0">
                  <c:v>8.924986338552122</c:v>
                </c:pt>
                <c:pt idx="1">
                  <c:v>11.291295406001508</c:v>
                </c:pt>
                <c:pt idx="2">
                  <c:v>10.069282823768811</c:v>
                </c:pt>
                <c:pt idx="3">
                  <c:v>9.1472998938260357</c:v>
                </c:pt>
                <c:pt idx="4">
                  <c:v>7.8681997905557424</c:v>
                </c:pt>
              </c:numCache>
            </c:numRef>
          </c:val>
          <c:smooth val="0"/>
          <c:extLst>
            <c:ext xmlns:c16="http://schemas.microsoft.com/office/drawing/2014/chart" uri="{C3380CC4-5D6E-409C-BE32-E72D297353CC}">
              <c16:uniqueId val="{00000000-A1BB-4706-8885-92691A0DA9C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2768"/>
        <c:axId val="470007672"/>
      </c:lineChart>
      <c:catAx>
        <c:axId val="47001276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07672"/>
        <c:crosses val="autoZero"/>
        <c:auto val="1"/>
        <c:lblAlgn val="ctr"/>
        <c:lblOffset val="100"/>
        <c:noMultiLvlLbl val="0"/>
      </c:catAx>
      <c:valAx>
        <c:axId val="47000767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276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Net Profit Margin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'[final (2).xlsx]QNB ratios'!$B$71:$F$71</c:f>
              <c:numCache>
                <c:formatCode>General</c:formatCode>
                <c:ptCount val="5"/>
                <c:pt idx="0">
                  <c:v>2015</c:v>
                </c:pt>
                <c:pt idx="1">
                  <c:v>2016</c:v>
                </c:pt>
                <c:pt idx="2">
                  <c:v>2017</c:v>
                </c:pt>
                <c:pt idx="3">
                  <c:v>2018</c:v>
                </c:pt>
                <c:pt idx="4">
                  <c:v>2019</c:v>
                </c:pt>
              </c:numCache>
            </c:numRef>
          </c:cat>
          <c:val>
            <c:numRef>
              <c:f>'[final (2).xlsx]QNB ratios'!$B$72:$F$72</c:f>
              <c:numCache>
                <c:formatCode>0%</c:formatCode>
                <c:ptCount val="5"/>
                <c:pt idx="0">
                  <c:v>0.49689302074441327</c:v>
                </c:pt>
                <c:pt idx="1">
                  <c:v>0.32259942524453677</c:v>
                </c:pt>
                <c:pt idx="2">
                  <c:v>0.51118189855575158</c:v>
                </c:pt>
                <c:pt idx="3">
                  <c:v>0.53707080803953045</c:v>
                </c:pt>
                <c:pt idx="4">
                  <c:v>0.53443003159128399</c:v>
                </c:pt>
              </c:numCache>
            </c:numRef>
          </c:val>
          <c:smooth val="0"/>
          <c:extLst>
            <c:ext xmlns:c16="http://schemas.microsoft.com/office/drawing/2014/chart" uri="{C3380CC4-5D6E-409C-BE32-E72D297353CC}">
              <c16:uniqueId val="{00000000-2A5E-4F3E-8B09-1B3C1DDBAE9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06496"/>
        <c:axId val="470015512"/>
      </c:lineChart>
      <c:catAx>
        <c:axId val="470006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5512"/>
        <c:crosses val="autoZero"/>
        <c:auto val="1"/>
        <c:lblAlgn val="ctr"/>
        <c:lblOffset val="100"/>
        <c:noMultiLvlLbl val="0"/>
      </c:catAx>
      <c:valAx>
        <c:axId val="4700155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0649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Tax Management Efficieny Ratio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manualLayout>
          <c:layoutTarget val="inner"/>
          <c:xMode val="edge"/>
          <c:yMode val="edge"/>
          <c:x val="9.4456036745406841E-2"/>
          <c:y val="0.19486111111111112"/>
          <c:w val="0.88332174103237093"/>
          <c:h val="0.72088764946048411"/>
        </c:manualLayout>
      </c:layout>
      <c:lineChart>
        <c:grouping val="standard"/>
        <c:varyColors val="0"/>
        <c:ser>
          <c:idx val="0"/>
          <c:order val="0"/>
          <c:spPr>
            <a:ln w="22225" cap="rnd" cmpd="sng" algn="ctr">
              <a:solidFill>
                <a:schemeClr val="accent1"/>
              </a:solidFill>
              <a:round/>
            </a:ln>
            <a:effectLst/>
          </c:spPr>
          <c:marker>
            <c:symbol val="none"/>
          </c:marker>
          <c:cat>
            <c:numRef>
              <c:f>'[final (2).xlsx]QNB ratios'!$B$77:$F$77</c:f>
              <c:numCache>
                <c:formatCode>General</c:formatCode>
                <c:ptCount val="5"/>
                <c:pt idx="0">
                  <c:v>2015</c:v>
                </c:pt>
                <c:pt idx="1">
                  <c:v>2016</c:v>
                </c:pt>
                <c:pt idx="2">
                  <c:v>2017</c:v>
                </c:pt>
                <c:pt idx="3">
                  <c:v>2018</c:v>
                </c:pt>
                <c:pt idx="4">
                  <c:v>2019</c:v>
                </c:pt>
              </c:numCache>
            </c:numRef>
          </c:cat>
          <c:val>
            <c:numRef>
              <c:f>'[final (2).xlsx]QNB ratios'!$B$78:$F$78</c:f>
              <c:numCache>
                <c:formatCode>0%</c:formatCode>
                <c:ptCount val="5"/>
                <c:pt idx="0">
                  <c:v>0.75544858388885816</c:v>
                </c:pt>
                <c:pt idx="1">
                  <c:v>0.67213915694833859</c:v>
                </c:pt>
                <c:pt idx="2">
                  <c:v>0.74919103648335583</c:v>
                </c:pt>
                <c:pt idx="3">
                  <c:v>0.73351518097683055</c:v>
                </c:pt>
                <c:pt idx="4">
                  <c:v>0.74480774205165923</c:v>
                </c:pt>
              </c:numCache>
            </c:numRef>
          </c:val>
          <c:smooth val="0"/>
          <c:extLst>
            <c:ext xmlns:c16="http://schemas.microsoft.com/office/drawing/2014/chart" uri="{C3380CC4-5D6E-409C-BE32-E72D297353CC}">
              <c16:uniqueId val="{00000000-DED8-4353-A3B1-5338E8165DE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9824"/>
        <c:axId val="470016688"/>
      </c:lineChart>
      <c:catAx>
        <c:axId val="4700198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6688"/>
        <c:crosses val="autoZero"/>
        <c:auto val="1"/>
        <c:lblAlgn val="ctr"/>
        <c:lblOffset val="100"/>
        <c:noMultiLvlLbl val="0"/>
      </c:catAx>
      <c:valAx>
        <c:axId val="470016688"/>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98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'QNB ratios'!$A$72</c:f>
              <c:strCache>
                <c:ptCount val="1"/>
                <c:pt idx="0">
                  <c:v>Asset Utilization Ratio</c:v>
                </c:pt>
              </c:strCache>
            </c:strRef>
          </c:tx>
          <c:spPr>
            <a:ln w="22225" cap="rnd" cmpd="sng" algn="ctr">
              <a:solidFill>
                <a:schemeClr val="accent1"/>
              </a:solidFill>
              <a:round/>
            </a:ln>
            <a:effectLst/>
          </c:spPr>
          <c:marker>
            <c:symbol val="none"/>
          </c:marker>
          <c:cat>
            <c:numRef>
              <c:f>'QNB ratios'!$B$71:$F$71</c:f>
              <c:numCache>
                <c:formatCode>General</c:formatCode>
                <c:ptCount val="5"/>
                <c:pt idx="0">
                  <c:v>2015</c:v>
                </c:pt>
                <c:pt idx="1">
                  <c:v>2016</c:v>
                </c:pt>
                <c:pt idx="2">
                  <c:v>2017</c:v>
                </c:pt>
                <c:pt idx="3">
                  <c:v>2018</c:v>
                </c:pt>
                <c:pt idx="4">
                  <c:v>2019</c:v>
                </c:pt>
              </c:numCache>
            </c:numRef>
          </c:cat>
          <c:val>
            <c:numRef>
              <c:f>'QNB ratios'!$B$72:$F$72</c:f>
              <c:numCache>
                <c:formatCode>0%</c:formatCode>
                <c:ptCount val="5"/>
                <c:pt idx="0">
                  <c:v>4.7393770383692899E-2</c:v>
                </c:pt>
                <c:pt idx="1">
                  <c:v>4.4916970094751513E-2</c:v>
                </c:pt>
                <c:pt idx="2">
                  <c:v>4.7155144668137659E-2</c:v>
                </c:pt>
                <c:pt idx="3">
                  <c:v>5.0836661347332203E-2</c:v>
                </c:pt>
                <c:pt idx="4">
                  <c:v>5.7901219914590775E-2</c:v>
                </c:pt>
              </c:numCache>
            </c:numRef>
          </c:val>
          <c:smooth val="0"/>
          <c:extLst>
            <c:ext xmlns:c16="http://schemas.microsoft.com/office/drawing/2014/chart" uri="{C3380CC4-5D6E-409C-BE32-E72D297353CC}">
              <c16:uniqueId val="{00000000-33B1-4B6E-BF2F-7F5C4047EF9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70018648"/>
        <c:axId val="470019040"/>
      </c:lineChart>
      <c:catAx>
        <c:axId val="47001864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9040"/>
        <c:crosses val="autoZero"/>
        <c:auto val="1"/>
        <c:lblAlgn val="ctr"/>
        <c:lblOffset val="100"/>
        <c:noMultiLvlLbl val="0"/>
      </c:catAx>
      <c:valAx>
        <c:axId val="47001904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7001864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D58BD055A394CB887EF2010AB2D2AAD"/>
        <w:category>
          <w:name w:val="General"/>
          <w:gallery w:val="placeholder"/>
        </w:category>
        <w:types>
          <w:type w:val="bbPlcHdr"/>
        </w:types>
        <w:behaviors>
          <w:behavior w:val="content"/>
        </w:behaviors>
        <w:guid w:val="{3D64492C-E222-4FA1-97A9-4837FEF894F5}"/>
      </w:docPartPr>
      <w:docPartBody>
        <w:p w:rsidR="004C0BBA" w:rsidRDefault="00233CFF" w:rsidP="00233CFF">
          <w:pPr>
            <w:pStyle w:val="5D58BD055A394CB887EF2010AB2D2AA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Helvetica Light">
    <w:altName w:val="Arial Nova Light"/>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CFF"/>
    <w:rsid w:val="0010260C"/>
    <w:rsid w:val="0016611E"/>
    <w:rsid w:val="00233CFF"/>
    <w:rsid w:val="00265A92"/>
    <w:rsid w:val="004177E9"/>
    <w:rsid w:val="004C0BBA"/>
    <w:rsid w:val="007D21E4"/>
    <w:rsid w:val="009F67B9"/>
    <w:rsid w:val="00FD78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58BD055A394CB887EF2010AB2D2AAD">
    <w:name w:val="5D58BD055A394CB887EF2010AB2D2AAD"/>
    <w:rsid w:val="00233C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otl</b:Tag>
    <b:SourceType>InternetSite</b:SourceType>
    <b:Guid>{61E47EC5-5443-024B-BDB3-38376EDE206B}</b:Guid>
    <b:InternetSiteTitle>otlob</b:InternetSiteTitle>
    <b:URL>https://www.otlob.com/egypt/about-us</b:URL>
    <b:RefOrder>12</b:RefOrder>
  </b:Source>
  <b:Source>
    <b:Tag>otl1</b:Tag>
    <b:SourceType>InternetSite</b:SourceType>
    <b:Guid>{258EC2FB-7BE5-044F-B83D-CE64CBB81BE3}</b:Guid>
    <b:InternetSiteTitle>otlob</b:InternetSiteTitle>
    <b:URL>https://www.otlob.com/egypt/contact-us</b:URL>
    <b:RefOrder>13</b:RefOrder>
  </b:Source>
  <b:Source>
    <b:Tag>Joh14</b:Tag>
    <b:SourceType>JournalArticle</b:SourceType>
    <b:Guid>{97F5E6BD-3E8A-7248-83F7-9A1E5B40E1E4}</b:Guid>
    <b:Title>differentiation strategies</b:Title>
    <b:Year>2014</b:Year>
    <b:Pages>1-4</b:Pages>
    <b:Author>
      <b:Author>
        <b:NameList>
          <b:Person>
            <b:Last>McGee</b:Last>
            <b:First>John</b:First>
          </b:Person>
        </b:NameList>
      </b:Author>
    </b:Author>
    <b:RefOrder>14</b:RefOrder>
  </b:Source>
  <b:Source>
    <b:Tag>otl2</b:Tag>
    <b:SourceType>InternetSite</b:SourceType>
    <b:Guid>{5CEEF9CC-0E66-AE4C-B9FA-B14B92E92338}</b:Guid>
    <b:Title>otlob</b:Title>
    <b:URL>http://otlob.store/</b:URL>
    <b:RefOrder>15</b:RefOrder>
  </b:Source>
  <b:Source>
    <b:Tag>sta00</b:Tag>
    <b:SourceType>JournalArticle</b:SourceType>
    <b:Guid>{8B0C3259-42F5-8C4B-9519-0698B283308B}</b:Guid>
    <b:Title>positioning strategies in business markets</b:Title>
    <b:Year>2000</b:Year>
    <b:Author>
      <b:Author>
        <b:NameList>
          <b:Person>
            <b:Last>p.kalafatis</b:Last>
            <b:First>stavros</b:First>
          </b:Person>
        </b:NameList>
      </b:Author>
    </b:Author>
    <b:JournalName>business and industrial marketing</b:JournalName>
    <b:Pages>416-437</b:Pages>
    <b:RefOrder>16</b:RefOrder>
  </b:Source>
  <b:Source>
    <b:Tag>Eme17</b:Tag>
    <b:SourceType>JournalArticle</b:SourceType>
    <b:Guid>{E19D8A6F-3696-AB40-B086-66473E9B8176}</b:Guid>
    <b:Author>
      <b:Author>
        <b:Corporate>Emet Gurel , Merba Tal</b:Corporate>
      </b:Author>
    </b:Author>
    <b:Title>Swot analysis: A theoretical review </b:Title>
    <b:JournalName>international social research</b:JournalName>
    <b:Year>2017</b:Year>
    <b:Pages>994-1007</b:Pages>
    <b:RefOrder>17</b:RefOrder>
  </b:Source>
  <b:Source>
    <b:Tag>Dem06</b:Tag>
    <b:SourceType>JournalArticle</b:SourceType>
    <b:Guid>{6E777A23-CA0D-3740-AEEA-7A747597F2BE}</b:Guid>
    <b:Author>
      <b:Author>
        <b:Corporate>Demetris Vrontis , Akis Thrassou</b:Corporate>
      </b:Author>
    </b:Author>
    <b:Title>situation analyisis and stratigic planning : an empirical case study in the UK Beverage industry</b:Title>
    <b:JournalName>innovative marketing</b:JournalName>
    <b:Year>2006</b:Year>
    <b:Pages>133-152</b:Pages>
    <b:RefOrder>18</b:RefOrder>
  </b:Source>
  <b:Source>
    <b:Tag>Mar19</b:Tag>
    <b:SourceType>Book</b:SourceType>
    <b:Guid>{E62D9393-5357-2F44-82DE-6FEBF9095AC5}</b:Guid>
    <b:Author>
      <b:Author>
        <b:NameList>
          <b:Person>
            <b:Last>Marshall</b:Last>
            <b:First>greg</b:First>
            <b:Middle>w, and johnston,mark W</b:Middle>
          </b:Person>
        </b:NameList>
      </b:Author>
    </b:Author>
    <b:Title>Marketing management 3rd edition</b:Title>
    <b:Publisher>mcgraw hill education</b:Publisher>
    <b:Year>2019</b:Year>
    <b:RefOrder>19</b:RefOrder>
  </b:Source>
  <b:Source>
    <b:Tag>Kot12</b:Tag>
    <b:SourceType>Book</b:SourceType>
    <b:Guid>{FFDDA9C2-F469-7C44-87D1-8D11013F969D}</b:Guid>
    <b:Author>
      <b:Author>
        <b:NameList>
          <b:Person>
            <b:Last>Kotler</b:Last>
            <b:First>p</b:First>
            <b:Middle>and keller K</b:Middle>
          </b:Person>
        </b:NameList>
      </b:Author>
    </b:Author>
    <b:Title>marketing magament</b:Title>
    <b:Publisher>pearson</b:Publisher>
    <b:Year>2012</b:Year>
    <b:RefOrder>20</b:RefOrder>
  </b:Source>
  <b:Source>
    <b:Tag>hau02</b:Tag>
    <b:SourceType>Book</b:SourceType>
    <b:Guid>{72600071-F9CC-E548-8DB6-336F04C767C7}</b:Guid>
    <b:Author>
      <b:Author>
        <b:NameList>
          <b:Person>
            <b:Last>lee</b:Last>
            <b:First>hau</b:First>
          </b:Person>
        </b:NameList>
      </b:Author>
    </b:Author>
    <b:Title>aligning supply chain strategies with product uncertainities</b:Title>
    <b:Publisher>california management review</b:Publisher>
    <b:Year>2002</b:Year>
    <b:RefOrder>21</b:RefOrder>
  </b:Source>
  <b:Source>
    <b:Tag>Mar05</b:Tag>
    <b:SourceType>Book</b:SourceType>
    <b:Guid>{9656D0AC-76DE-B649-A2BB-B330A5CE229E}</b:Guid>
    <b:Author>
      <b:Author>
        <b:NameList>
          <b:Person>
            <b:Last>gattorna</b:Last>
            <b:First>Martin</b:First>
            <b:Middle>christopher and john</b:Middle>
          </b:Person>
        </b:NameList>
      </b:Author>
    </b:Author>
    <b:Title>supply chain cost management and value based pricing</b:Title>
    <b:Publisher>industrial marketing management</b:Publisher>
    <b:Year>2005</b:Year>
    <b:RefOrder>22</b:RefOrder>
  </b:Source>
  <b:Source>
    <b:Tag>Owl</b:Tag>
    <b:SourceType>InternetSite</b:SourceType>
    <b:Guid>{8D3051D0-6ED0-4576-8CF0-9EE269AF8F73}</b:Guid>
    <b:InternetSiteTitle>Owler</b:InternetSiteTitle>
    <b:URL>https://www.owler.com/company/otlob</b:URL>
    <b:RefOrder>23</b:RefOrder>
  </b:Source>
  <b:Source>
    <b:Tag>Mus19</b:Tag>
    <b:SourceType>InternetSite</b:SourceType>
    <b:Guid>{42C09F73-1BBE-4739-A6ED-677386E27CBA}</b:Guid>
    <b:Author>
      <b:Author>
        <b:NameList>
          <b:Person>
            <b:Last>Mustafa</b:Last>
          </b:Person>
        </b:NameList>
      </b:Author>
    </b:Author>
    <b:InternetSiteTitle>Ahram</b:InternetSiteTitle>
    <b:Year>2019</b:Year>
    <b:Month>October</b:Month>
    <b:Day>27</b:Day>
    <b:URL>http://english.ahram.org.eg/NewsContent/3/12/354747/Business/Economy/Spains-Glovo-targets--of-Egypt-online-delivery-ser.aspx</b:URL>
    <b:RefOrder>24</b:RefOrder>
  </b:Source>
  <b:Source>
    <b:Tag>Abo</b:Tag>
    <b:SourceType>InternetSite</b:SourceType>
    <b:Guid>{9AF7C179-72AF-4982-B935-9E596589E125}</b:Guid>
    <b:Title>About Otlob</b:Title>
    <b:InternetSiteTitle>Otlob</b:InternetSiteTitle>
    <b:URL>https://www.otlob.com/egypt/about-us</b:URL>
    <b:RefOrder>25</b:RefOrder>
  </b:Source>
  <b:Source>
    <b:Tag>Kim13</b:Tag>
    <b:SourceType>InternetSite</b:SourceType>
    <b:Guid>{3C3634BC-ED03-4B5E-907A-F0F78BF86F0C}</b:Guid>
    <b:Author>
      <b:Author>
        <b:NameList>
          <b:Person>
            <b:Last>Moore</b:Last>
            <b:First>Kim</b:First>
          </b:Person>
        </b:NameList>
      </b:Author>
    </b:Author>
    <b:InternetSiteTitle>KGMoore</b:InternetSiteTitle>
    <b:Year>2013</b:Year>
    <b:Month>November</b:Month>
    <b:Day>14</b:Day>
    <b:URL>https://www.kgmoore.co.uk/strategy-tools-use-the-ansoff-matrix-for-evaluating-growth-opportunities/</b:URL>
    <b:RefOrder>26</b:RefOrder>
  </b:Source>
  <b:Source>
    <b:Tag>QNB1</b:Tag>
    <b:SourceType>InternetSite</b:SourceType>
    <b:Guid>{A1CED200-5F37-4711-9F8F-27F2DE00A5AE}</b:Guid>
    <b:InternetSiteTitle>QNB</b:InternetSiteTitle>
    <b:URL>https://www.qnb.com/sites/qnb/qnbglobal/page/en/enhistory.html</b:URL>
    <b:RefOrder>1</b:RefOrder>
  </b:Source>
  <b:Source>
    <b:Tag>QNB</b:Tag>
    <b:SourceType>InternetSite</b:SourceType>
    <b:Guid>{BCE649A2-D192-418C-A46D-23EADB6CE4A1}</b:Guid>
    <b:InternetSiteTitle>QNB ALAHLI</b:InternetSiteTitle>
    <b:URL>https://www.qnbalahli.com/sites/qnb/qnbegypt/page/en/enoverview.html</b:URL>
    <b:RefOrder>2</b:RefOrder>
  </b:Source>
  <b:Source>
    <b:Tag>AAI</b:Tag>
    <b:SourceType>InternetSite</b:SourceType>
    <b:Guid>{C8F50B18-28FD-4077-9E4C-CE63D7832693}</b:Guid>
    <b:InternetSiteTitle>AAIB</b:InternetSiteTitle>
    <b:URL>https://aaib.com/en/categories/About-AAIB</b:URL>
    <b:RefOrder>3</b:RefOrder>
  </b:Source>
  <b:Source>
    <b:Tag>cam3</b:Tag>
    <b:SourceType>DocumentFromInternetSite</b:SourceType>
    <b:Guid>{B81410B2-27C9-43E0-AB98-5D65864079E9}</b:Guid>
    <b:InternetSiteTitle>cambridge dictionary</b:InternetSiteTitle>
    <b:URL>https://dictionary.cambridge.org/dictionary/english/return-on-assets</b:URL>
    <b:RefOrder>4</b:RefOrder>
  </b:Source>
  <b:Source>
    <b:Tag>Ann16</b:Tag>
    <b:SourceType>DocumentFromInternetSite</b:SourceType>
    <b:Guid>{6CC6963E-52F3-43E7-9F7E-ECA342D763DF}</b:Guid>
    <b:Title>Annual report </b:Title>
    <b:InternetSiteTitle>QNB AL AHLI</b:InternetSiteTitle>
    <b:Year>2016</b:Year>
    <b:URL>https://www.qnbalahli.com/sites/Satellite?blobcol=urldata&amp;blobkey=id&amp;blobtable=MungoBlobs&amp;blobwhere=1562664728521&amp;ssbinary=true</b:URL>
    <b:RefOrder>5</b:RefOrder>
  </b:Source>
  <b:Source>
    <b:Tag>Ann18</b:Tag>
    <b:SourceType>DocumentFromInternetSite</b:SourceType>
    <b:Guid>{04BE6068-D37B-44D8-BC9F-2EFE77FAC530}</b:Guid>
    <b:Title>Annual report</b:Title>
    <b:InternetSiteTitle>QNB ALAHLI</b:InternetSiteTitle>
    <b:Year>2018</b:Year>
    <b:URL>https://www.qnbalahli.com/sites/qnb/qnbegypt/document/en/enAnnualReport2018</b:URL>
    <b:RefOrder>6</b:RefOrder>
  </b:Source>
  <b:Source>
    <b:Tag>Ann19</b:Tag>
    <b:SourceType>DocumentFromInternetSite</b:SourceType>
    <b:Guid>{A2BA4DE0-EB4E-4ABF-A8FD-48A904D64CC0}</b:Guid>
    <b:Title>Annual report</b:Title>
    <b:InternetSiteTitle>QNB ALAHLI </b:InternetSiteTitle>
    <b:Year>2019</b:Year>
    <b:URL>https://www.qnbalahli.com/sites/qnb/qnbegypt/document/en/enAnnualReport2019</b:URL>
    <b:RefOrder>7</b:RefOrder>
  </b:Source>
  <b:Source>
    <b:Tag>cam2</b:Tag>
    <b:SourceType>DocumentFromInternetSite</b:SourceType>
    <b:Guid>{F669553F-C2D1-4F21-A605-2E289AE59368}</b:Guid>
    <b:InternetSiteTitle>cambridge dictionary</b:InternetSiteTitle>
    <b:URL>https://dictionary.cambridge.org/dictionary/english/return-on-equity</b:URL>
    <b:RefOrder>8</b:RefOrder>
  </b:Source>
  <b:Source>
    <b:Tag>CBE19</b:Tag>
    <b:SourceType>DocumentFromInternetSite</b:SourceType>
    <b:Guid>{2A0C6C8A-C4DD-4B0C-8939-113B6CC63352}</b:Guid>
    <b:InternetSiteTitle>CBE</b:InternetSiteTitle>
    <b:Year>2019</b:Year>
    <b:URL>https://www.cbe.org.eg/en/BankingSupervision/Pages/Strategy.aspx#:~:text=The%20Egyptian%20Banking%20sector%20is,of%2030%2F6%2F2009</b:URL>
    <b:RefOrder>9</b:RefOrder>
  </b:Source>
  <b:Source>
    <b:Tag>CBE15</b:Tag>
    <b:SourceType>DocumentFromInternetSite</b:SourceType>
    <b:Guid>{7193529A-E000-470F-9F02-7A9D3BA3222F}</b:Guid>
    <b:InternetSiteTitle>CBE</b:InternetSiteTitle>
    <b:Year>2015</b:Year>
    <b:URL>https://www.cbe.org.eg/_layouts/download.aspx?SourceUrl=%2Fen%2FEconomicResearch%2FPublications%2FAnnualReportDL%2FAnnual%20Report2014-2015.pdf</b:URL>
    <b:RefOrder>10</b:RefOrder>
  </b:Source>
  <b:Source>
    <b:Tag>Add18</b:Tag>
    <b:SourceType>DocumentFromInternetSite</b:SourceType>
    <b:Guid>{F3E2B0B5-2224-4417-9695-E4925CE943BE}</b:Guid>
    <b:InternetSiteTitle>Addis Ababa University</b:InternetSiteTitle>
    <b:Year>2018</b:Year>
    <b:URL>http://etd.aau.edu.et/bitstream/handle/123456789/13753/Anteneh%20Teshome.pdf?sequence=1&amp;isAllowed=y</b:URL>
    <b:RefOrder>11</b:RefOrder>
  </b:Source>
</b:Sources>
</file>

<file path=customXml/itemProps1.xml><?xml version="1.0" encoding="utf-8"?>
<ds:datastoreItem xmlns:ds="http://schemas.openxmlformats.org/officeDocument/2006/customXml" ds:itemID="{1FC0FE6C-FA99-45A0-BA23-09C52DDFF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Pages>
  <Words>4940</Words>
  <Characters>28159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Marketing Management</vt:lpstr>
    </vt:vector>
  </TitlesOfParts>
  <Company/>
  <LinksUpToDate>false</LinksUpToDate>
  <CharactersWithSpaces>33033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Management</dc:title>
  <dc:subject/>
  <dc:creator>nermein188228</dc:creator>
  <cp:keywords/>
  <dc:description/>
  <cp:lastModifiedBy>Ali186641</cp:lastModifiedBy>
  <cp:revision>12</cp:revision>
  <dcterms:created xsi:type="dcterms:W3CDTF">2020-04-29T22:37:00Z</dcterms:created>
  <dcterms:modified xsi:type="dcterms:W3CDTF">2021-07-07T23:58:00Z</dcterms:modified>
</cp:coreProperties>
</file>