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058A9" w14:textId="5228F4E0" w:rsidR="00E44C6E" w:rsidRPr="00E44C6E" w:rsidRDefault="00E44C6E" w:rsidP="00E44C6E">
      <w:pPr>
        <w:rPr>
          <w:rFonts w:asciiTheme="majorHAnsi" w:hAnsiTheme="majorHAnsi"/>
          <w:b/>
        </w:rPr>
      </w:pPr>
      <w:r w:rsidRPr="00E44C6E">
        <w:rPr>
          <w:rFonts w:asciiTheme="majorHAnsi" w:hAnsiTheme="majorHAnsi"/>
          <w:b/>
        </w:rPr>
        <w:t xml:space="preserve">CDS Task Force Call Summary for </w:t>
      </w:r>
      <w:r w:rsidR="00F31A17">
        <w:rPr>
          <w:rFonts w:asciiTheme="majorHAnsi" w:hAnsiTheme="majorHAnsi"/>
          <w:b/>
        </w:rPr>
        <w:t xml:space="preserve">June </w:t>
      </w:r>
      <w:r w:rsidR="00275E99">
        <w:rPr>
          <w:rFonts w:asciiTheme="majorHAnsi" w:hAnsiTheme="majorHAnsi"/>
          <w:b/>
        </w:rPr>
        <w:t>26</w:t>
      </w:r>
      <w:r w:rsidRPr="00E44C6E">
        <w:rPr>
          <w:rFonts w:asciiTheme="majorHAnsi" w:hAnsiTheme="majorHAnsi"/>
          <w:b/>
        </w:rPr>
        <w:t>, 2012</w:t>
      </w:r>
    </w:p>
    <w:p w14:paraId="589CDAA6" w14:textId="77777777" w:rsidR="00F964EE" w:rsidRDefault="00F964EE" w:rsidP="00E44C6E">
      <w:pPr>
        <w:pStyle w:val="NoSpacing"/>
        <w:rPr>
          <w:rFonts w:asciiTheme="majorHAnsi" w:hAnsiTheme="majorHAnsi"/>
          <w:b/>
        </w:rPr>
      </w:pPr>
    </w:p>
    <w:p w14:paraId="49961054" w14:textId="2A1A9397" w:rsidR="00E44C6E" w:rsidRPr="00E44C6E" w:rsidRDefault="00F964EE" w:rsidP="00E44C6E">
      <w:pPr>
        <w:pStyle w:val="NoSpacing"/>
        <w:rPr>
          <w:rFonts w:asciiTheme="majorHAnsi" w:hAnsiTheme="majorHAnsi"/>
          <w:b/>
        </w:rPr>
      </w:pPr>
      <w:r>
        <w:rPr>
          <w:rFonts w:asciiTheme="majorHAnsi" w:hAnsiTheme="majorHAnsi"/>
          <w:b/>
        </w:rPr>
        <w:t>Participants</w:t>
      </w:r>
    </w:p>
    <w:p w14:paraId="4BB38609" w14:textId="77777777" w:rsidR="00275E99" w:rsidRDefault="00275E99" w:rsidP="00275E99">
      <w:pPr>
        <w:pStyle w:val="NoSpacing"/>
        <w:rPr>
          <w:rFonts w:asciiTheme="majorHAnsi" w:hAnsiTheme="majorHAnsi"/>
        </w:rPr>
      </w:pPr>
      <w:r>
        <w:rPr>
          <w:rFonts w:asciiTheme="majorHAnsi" w:hAnsiTheme="majorHAnsi"/>
        </w:rPr>
        <w:t xml:space="preserve">Tim </w:t>
      </w:r>
      <w:proofErr w:type="spellStart"/>
      <w:r>
        <w:rPr>
          <w:rFonts w:asciiTheme="majorHAnsi" w:hAnsiTheme="majorHAnsi"/>
        </w:rPr>
        <w:t>Calhoon</w:t>
      </w:r>
      <w:proofErr w:type="spellEnd"/>
      <w:r>
        <w:rPr>
          <w:rFonts w:asciiTheme="majorHAnsi" w:hAnsiTheme="majorHAnsi"/>
        </w:rPr>
        <w:t>, CCC Technology Center</w:t>
      </w:r>
    </w:p>
    <w:p w14:paraId="22CA868D" w14:textId="77777777" w:rsidR="00F31A17" w:rsidRDefault="00F31A17" w:rsidP="00F31A17">
      <w:pPr>
        <w:pStyle w:val="NoSpacing"/>
        <w:rPr>
          <w:rFonts w:asciiTheme="majorHAnsi" w:hAnsiTheme="majorHAnsi"/>
        </w:rPr>
      </w:pPr>
      <w:r>
        <w:rPr>
          <w:rFonts w:asciiTheme="majorHAnsi" w:hAnsiTheme="majorHAnsi"/>
        </w:rPr>
        <w:t>Tim Cameron, National Student Clearinghouse</w:t>
      </w:r>
    </w:p>
    <w:p w14:paraId="229895AC" w14:textId="77777777" w:rsidR="00F964EE" w:rsidRPr="0011197E" w:rsidRDefault="00F964EE" w:rsidP="00F964EE">
      <w:pPr>
        <w:pStyle w:val="NoSpacing"/>
        <w:rPr>
          <w:rFonts w:asciiTheme="majorHAnsi" w:hAnsiTheme="majorHAnsi"/>
        </w:rPr>
      </w:pPr>
      <w:r w:rsidRPr="0011197E">
        <w:rPr>
          <w:rFonts w:asciiTheme="majorHAnsi" w:hAnsiTheme="majorHAnsi"/>
        </w:rPr>
        <w:t>Mark Cohen, Parchment</w:t>
      </w:r>
    </w:p>
    <w:p w14:paraId="73BB785D" w14:textId="77777777" w:rsidR="00275E99" w:rsidRDefault="00275E99" w:rsidP="00275E99">
      <w:pPr>
        <w:pStyle w:val="NoSpacing"/>
        <w:rPr>
          <w:rFonts w:asciiTheme="majorHAnsi" w:hAnsiTheme="majorHAnsi"/>
        </w:rPr>
      </w:pPr>
      <w:r>
        <w:rPr>
          <w:rFonts w:asciiTheme="majorHAnsi" w:hAnsiTheme="majorHAnsi"/>
        </w:rPr>
        <w:t xml:space="preserve">Lou </w:t>
      </w:r>
      <w:proofErr w:type="spellStart"/>
      <w:r>
        <w:rPr>
          <w:rFonts w:asciiTheme="majorHAnsi" w:hAnsiTheme="majorHAnsi"/>
        </w:rPr>
        <w:t>Delzampo</w:t>
      </w:r>
      <w:proofErr w:type="spellEnd"/>
      <w:r>
        <w:rPr>
          <w:rFonts w:asciiTheme="majorHAnsi" w:hAnsiTheme="majorHAnsi"/>
        </w:rPr>
        <w:t>, Parchment</w:t>
      </w:r>
    </w:p>
    <w:p w14:paraId="7B7B6D32" w14:textId="77777777" w:rsidR="00E44C6E" w:rsidRPr="0011197E" w:rsidRDefault="00E44C6E" w:rsidP="00E44C6E">
      <w:pPr>
        <w:pStyle w:val="NoSpacing"/>
        <w:rPr>
          <w:rFonts w:asciiTheme="majorHAnsi" w:hAnsiTheme="majorHAnsi"/>
        </w:rPr>
      </w:pPr>
      <w:r w:rsidRPr="0011197E">
        <w:rPr>
          <w:rFonts w:asciiTheme="majorHAnsi" w:hAnsiTheme="majorHAnsi"/>
        </w:rPr>
        <w:t xml:space="preserve">Joseph Giroux, CCC Technology Center </w:t>
      </w:r>
    </w:p>
    <w:p w14:paraId="2B55CD61" w14:textId="59204682" w:rsidR="00275E99" w:rsidRDefault="00275E99" w:rsidP="0011197E">
      <w:pPr>
        <w:pStyle w:val="NoSpacing"/>
        <w:rPr>
          <w:rFonts w:asciiTheme="majorHAnsi" w:hAnsiTheme="majorHAnsi"/>
        </w:rPr>
      </w:pPr>
      <w:r>
        <w:rPr>
          <w:rFonts w:asciiTheme="majorHAnsi" w:hAnsiTheme="majorHAnsi"/>
        </w:rPr>
        <w:t xml:space="preserve">Monterey Sims, University of </w:t>
      </w:r>
      <w:proofErr w:type="spellStart"/>
      <w:r>
        <w:rPr>
          <w:rFonts w:asciiTheme="majorHAnsi" w:hAnsiTheme="majorHAnsi"/>
        </w:rPr>
        <w:t>Pheonix</w:t>
      </w:r>
      <w:proofErr w:type="spellEnd"/>
    </w:p>
    <w:p w14:paraId="147D077F" w14:textId="77777777" w:rsidR="00F964EE" w:rsidRDefault="00F964EE" w:rsidP="00F964EE">
      <w:pPr>
        <w:pStyle w:val="NoSpacing"/>
        <w:rPr>
          <w:rFonts w:asciiTheme="majorHAnsi" w:hAnsiTheme="majorHAnsi"/>
          <w:b/>
        </w:rPr>
      </w:pPr>
    </w:p>
    <w:p w14:paraId="3529A59B" w14:textId="6C10F351" w:rsidR="00A176D7" w:rsidRDefault="00275E99" w:rsidP="00F964EE">
      <w:pPr>
        <w:pStyle w:val="NoSpacing"/>
        <w:rPr>
          <w:rFonts w:asciiTheme="majorHAnsi" w:hAnsiTheme="majorHAnsi"/>
          <w:b/>
        </w:rPr>
      </w:pPr>
      <w:r>
        <w:rPr>
          <w:rFonts w:asciiTheme="majorHAnsi" w:hAnsiTheme="majorHAnsi"/>
          <w:b/>
        </w:rPr>
        <w:t>Timeline Draft</w:t>
      </w:r>
    </w:p>
    <w:p w14:paraId="356CFC5E" w14:textId="61536994" w:rsidR="00DE5A77" w:rsidRPr="00DE5A77" w:rsidRDefault="00275E99" w:rsidP="00F964EE">
      <w:pPr>
        <w:pStyle w:val="NoSpacing"/>
        <w:rPr>
          <w:rFonts w:asciiTheme="majorHAnsi" w:hAnsiTheme="majorHAnsi"/>
        </w:rPr>
      </w:pPr>
      <w:r>
        <w:rPr>
          <w:rFonts w:asciiTheme="majorHAnsi" w:hAnsiTheme="majorHAnsi"/>
        </w:rPr>
        <w:t xml:space="preserve">We reviewed a draft timeline for development of a phase 1 standard, including review by the change control board, public comment, membership vote, ratification and posting.  We considered the timeline too aggressive and modified it so that the beginning of the public comment period will occur soon after the Vancouver Summit in mid-October.  We also decided to develop a prototype that can be demonstrated at the summit.  </w:t>
      </w:r>
    </w:p>
    <w:p w14:paraId="5FA62F7F" w14:textId="77777777" w:rsidR="00DE5A77" w:rsidRDefault="00DE5A77" w:rsidP="00F964EE">
      <w:pPr>
        <w:pStyle w:val="NoSpacing"/>
        <w:rPr>
          <w:rFonts w:asciiTheme="majorHAnsi" w:hAnsiTheme="majorHAnsi"/>
          <w:b/>
        </w:rPr>
      </w:pPr>
    </w:p>
    <w:p w14:paraId="5063B7FA" w14:textId="3D9CD793" w:rsidR="00F31A17" w:rsidRDefault="00275E99" w:rsidP="00F964EE">
      <w:pPr>
        <w:pStyle w:val="NoSpacing"/>
        <w:rPr>
          <w:rFonts w:asciiTheme="majorHAnsi" w:hAnsiTheme="majorHAnsi"/>
          <w:b/>
        </w:rPr>
      </w:pPr>
      <w:r>
        <w:rPr>
          <w:rFonts w:asciiTheme="majorHAnsi" w:hAnsiTheme="majorHAnsi"/>
          <w:b/>
        </w:rPr>
        <w:t>WSDL Elements</w:t>
      </w:r>
    </w:p>
    <w:p w14:paraId="0F23CF07" w14:textId="5401A5E8" w:rsidR="00B72D2E" w:rsidRDefault="00275E99" w:rsidP="00B72D2E">
      <w:pPr>
        <w:rPr>
          <w:rFonts w:asciiTheme="majorHAnsi" w:hAnsiTheme="majorHAnsi"/>
          <w:sz w:val="22"/>
          <w:szCs w:val="22"/>
        </w:rPr>
      </w:pPr>
      <w:r>
        <w:rPr>
          <w:rFonts w:asciiTheme="majorHAnsi" w:hAnsiTheme="majorHAnsi"/>
          <w:sz w:val="22"/>
          <w:szCs w:val="22"/>
        </w:rPr>
        <w:t xml:space="preserve">We reviewed the WSDL elements that were identified at the previous meeting and discussed the attributes and coding schemes that might be used for each.  </w:t>
      </w:r>
    </w:p>
    <w:p w14:paraId="73A31120" w14:textId="77777777" w:rsidR="00DB29F7" w:rsidRDefault="00DB29F7" w:rsidP="00B72D2E">
      <w:pPr>
        <w:rPr>
          <w:rFonts w:asciiTheme="majorHAnsi" w:hAnsiTheme="majorHAnsi"/>
          <w:sz w:val="22"/>
          <w:szCs w:val="22"/>
        </w:rPr>
      </w:pPr>
    </w:p>
    <w:tbl>
      <w:tblPr>
        <w:tblStyle w:val="TableGrid"/>
        <w:tblW w:w="7308" w:type="dxa"/>
        <w:tblInd w:w="720" w:type="dxa"/>
        <w:tblLayout w:type="fixed"/>
        <w:tblLook w:val="04A0" w:firstRow="1" w:lastRow="0" w:firstColumn="1" w:lastColumn="0" w:noHBand="0" w:noVBand="1"/>
      </w:tblPr>
      <w:tblGrid>
        <w:gridCol w:w="2358"/>
        <w:gridCol w:w="4950"/>
      </w:tblGrid>
      <w:tr w:rsidR="00255A42" w:rsidRPr="003B0A32" w14:paraId="63C92580" w14:textId="77777777" w:rsidTr="00DB29F7">
        <w:tc>
          <w:tcPr>
            <w:tcW w:w="2358" w:type="dxa"/>
          </w:tcPr>
          <w:p w14:paraId="5A9C8A27" w14:textId="77777777" w:rsidR="00255A42" w:rsidRPr="001C55EC" w:rsidRDefault="00255A42" w:rsidP="00255A42">
            <w:pPr>
              <w:rPr>
                <w:rFonts w:asciiTheme="majorHAnsi" w:hAnsiTheme="majorHAnsi"/>
                <w:sz w:val="22"/>
                <w:szCs w:val="22"/>
              </w:rPr>
            </w:pPr>
            <w:r w:rsidRPr="001C55EC">
              <w:rPr>
                <w:rFonts w:asciiTheme="majorHAnsi" w:hAnsiTheme="majorHAnsi"/>
                <w:sz w:val="22"/>
                <w:szCs w:val="22"/>
              </w:rPr>
              <w:t xml:space="preserve">From </w:t>
            </w:r>
            <w:proofErr w:type="spellStart"/>
            <w:r w:rsidRPr="001C55EC">
              <w:rPr>
                <w:rFonts w:asciiTheme="majorHAnsi" w:hAnsiTheme="majorHAnsi"/>
                <w:sz w:val="22"/>
                <w:szCs w:val="22"/>
              </w:rPr>
              <w:t>ServerID</w:t>
            </w:r>
            <w:proofErr w:type="spellEnd"/>
          </w:p>
        </w:tc>
        <w:tc>
          <w:tcPr>
            <w:tcW w:w="4950" w:type="dxa"/>
          </w:tcPr>
          <w:p w14:paraId="426CD235" w14:textId="478F774A" w:rsidR="00255A42" w:rsidRPr="003B0A32" w:rsidRDefault="00255A42" w:rsidP="00255A42">
            <w:pPr>
              <w:rPr>
                <w:rFonts w:asciiTheme="majorHAnsi" w:hAnsiTheme="majorHAnsi"/>
                <w:sz w:val="22"/>
                <w:szCs w:val="22"/>
              </w:rPr>
            </w:pPr>
            <w:r>
              <w:rPr>
                <w:rFonts w:asciiTheme="majorHAnsi" w:hAnsiTheme="majorHAnsi"/>
                <w:sz w:val="22"/>
                <w:szCs w:val="22"/>
              </w:rPr>
              <w:t>Lou will propose a solution</w:t>
            </w:r>
            <w:r w:rsidR="00DB29F7">
              <w:rPr>
                <w:rFonts w:asciiTheme="majorHAnsi" w:hAnsiTheme="majorHAnsi"/>
                <w:sz w:val="22"/>
                <w:szCs w:val="22"/>
              </w:rPr>
              <w:t xml:space="preserve"> for a Globally Unique ID</w:t>
            </w:r>
          </w:p>
        </w:tc>
      </w:tr>
      <w:tr w:rsidR="00255A42" w:rsidRPr="003B0A32" w14:paraId="36A6017A" w14:textId="77777777" w:rsidTr="00DB29F7">
        <w:tc>
          <w:tcPr>
            <w:tcW w:w="2358" w:type="dxa"/>
          </w:tcPr>
          <w:p w14:paraId="36B08F12" w14:textId="77777777" w:rsidR="00255A42" w:rsidRPr="001C55EC" w:rsidRDefault="00255A42" w:rsidP="00255A42">
            <w:pPr>
              <w:rPr>
                <w:rFonts w:asciiTheme="majorHAnsi" w:hAnsiTheme="majorHAnsi"/>
                <w:sz w:val="22"/>
                <w:szCs w:val="22"/>
              </w:rPr>
            </w:pPr>
            <w:r w:rsidRPr="001C55EC">
              <w:rPr>
                <w:rFonts w:asciiTheme="majorHAnsi" w:hAnsiTheme="majorHAnsi"/>
                <w:sz w:val="22"/>
                <w:szCs w:val="22"/>
              </w:rPr>
              <w:t xml:space="preserve">To </w:t>
            </w:r>
            <w:proofErr w:type="spellStart"/>
            <w:r w:rsidRPr="001C55EC">
              <w:rPr>
                <w:rFonts w:asciiTheme="majorHAnsi" w:hAnsiTheme="majorHAnsi"/>
                <w:sz w:val="22"/>
                <w:szCs w:val="22"/>
              </w:rPr>
              <w:t>ServerID</w:t>
            </w:r>
            <w:proofErr w:type="spellEnd"/>
          </w:p>
        </w:tc>
        <w:tc>
          <w:tcPr>
            <w:tcW w:w="4950" w:type="dxa"/>
          </w:tcPr>
          <w:p w14:paraId="2E6D6AC6" w14:textId="1ED90B12" w:rsidR="00255A42" w:rsidRPr="003B0A32" w:rsidRDefault="00DB29F7" w:rsidP="00255A42">
            <w:pPr>
              <w:rPr>
                <w:rFonts w:asciiTheme="majorHAnsi" w:hAnsiTheme="majorHAnsi"/>
                <w:sz w:val="22"/>
                <w:szCs w:val="22"/>
              </w:rPr>
            </w:pPr>
            <w:r>
              <w:rPr>
                <w:rFonts w:asciiTheme="majorHAnsi" w:hAnsiTheme="majorHAnsi"/>
                <w:sz w:val="22"/>
                <w:szCs w:val="22"/>
              </w:rPr>
              <w:t>Lou will propose a solution for a Globally Unique ID</w:t>
            </w:r>
          </w:p>
        </w:tc>
      </w:tr>
      <w:tr w:rsidR="00255A42" w:rsidRPr="003B0A32" w14:paraId="2BD1F96B" w14:textId="77777777" w:rsidTr="00DB29F7">
        <w:tc>
          <w:tcPr>
            <w:tcW w:w="2358" w:type="dxa"/>
          </w:tcPr>
          <w:p w14:paraId="19936D1B" w14:textId="77777777" w:rsidR="00255A42" w:rsidRPr="001C55EC" w:rsidRDefault="00255A42" w:rsidP="00255A42">
            <w:pPr>
              <w:rPr>
                <w:rFonts w:asciiTheme="majorHAnsi" w:hAnsiTheme="majorHAnsi"/>
                <w:sz w:val="22"/>
                <w:szCs w:val="22"/>
              </w:rPr>
            </w:pPr>
            <w:r w:rsidRPr="001C55EC">
              <w:rPr>
                <w:rFonts w:asciiTheme="majorHAnsi" w:hAnsiTheme="majorHAnsi"/>
                <w:sz w:val="22"/>
                <w:szCs w:val="22"/>
              </w:rPr>
              <w:t>Date-Time</w:t>
            </w:r>
          </w:p>
        </w:tc>
        <w:tc>
          <w:tcPr>
            <w:tcW w:w="4950" w:type="dxa"/>
          </w:tcPr>
          <w:p w14:paraId="47CD58BC" w14:textId="69647E1C" w:rsidR="00255A42" w:rsidRPr="003B0A32" w:rsidRDefault="00DB29F7" w:rsidP="00255A42">
            <w:pPr>
              <w:rPr>
                <w:rFonts w:asciiTheme="majorHAnsi" w:hAnsiTheme="majorHAnsi"/>
                <w:sz w:val="22"/>
                <w:szCs w:val="22"/>
              </w:rPr>
            </w:pPr>
            <w:r>
              <w:rPr>
                <w:rFonts w:asciiTheme="majorHAnsi" w:hAnsiTheme="majorHAnsi"/>
                <w:sz w:val="22"/>
                <w:szCs w:val="22"/>
              </w:rPr>
              <w:t>Use existing PESC date-time element</w:t>
            </w:r>
          </w:p>
        </w:tc>
      </w:tr>
      <w:tr w:rsidR="00255A42" w:rsidRPr="003B0A32" w14:paraId="4A7B4A6A" w14:textId="77777777" w:rsidTr="00DB29F7">
        <w:tc>
          <w:tcPr>
            <w:tcW w:w="2358" w:type="dxa"/>
          </w:tcPr>
          <w:p w14:paraId="315A3E89" w14:textId="77777777" w:rsidR="00255A42" w:rsidRPr="001C55EC" w:rsidRDefault="00255A42" w:rsidP="00255A42">
            <w:pPr>
              <w:rPr>
                <w:rFonts w:asciiTheme="majorHAnsi" w:hAnsiTheme="majorHAnsi"/>
                <w:sz w:val="22"/>
                <w:szCs w:val="22"/>
              </w:rPr>
            </w:pPr>
            <w:proofErr w:type="spellStart"/>
            <w:r>
              <w:rPr>
                <w:rFonts w:asciiTheme="majorHAnsi" w:hAnsiTheme="majorHAnsi"/>
                <w:sz w:val="22"/>
                <w:szCs w:val="22"/>
              </w:rPr>
              <w:t>T</w:t>
            </w:r>
            <w:r w:rsidRPr="001C55EC">
              <w:rPr>
                <w:rFonts w:asciiTheme="majorHAnsi" w:hAnsiTheme="majorHAnsi"/>
                <w:sz w:val="22"/>
                <w:szCs w:val="22"/>
              </w:rPr>
              <w:t>argetID</w:t>
            </w:r>
            <w:proofErr w:type="spellEnd"/>
          </w:p>
        </w:tc>
        <w:tc>
          <w:tcPr>
            <w:tcW w:w="4950" w:type="dxa"/>
          </w:tcPr>
          <w:p w14:paraId="76879565" w14:textId="49C031AB" w:rsidR="00255A42" w:rsidRPr="003B0A32" w:rsidRDefault="00DB29F7" w:rsidP="00255A42">
            <w:pPr>
              <w:rPr>
                <w:rFonts w:asciiTheme="majorHAnsi" w:hAnsiTheme="majorHAnsi"/>
                <w:sz w:val="22"/>
                <w:szCs w:val="22"/>
              </w:rPr>
            </w:pPr>
            <w:r>
              <w:rPr>
                <w:rFonts w:asciiTheme="majorHAnsi" w:hAnsiTheme="majorHAnsi"/>
                <w:sz w:val="22"/>
                <w:szCs w:val="22"/>
              </w:rPr>
              <w:t xml:space="preserve">Use PESC </w:t>
            </w:r>
            <w:proofErr w:type="spellStart"/>
            <w:r>
              <w:rPr>
                <w:rFonts w:asciiTheme="majorHAnsi" w:hAnsiTheme="majorHAnsi"/>
                <w:sz w:val="22"/>
                <w:szCs w:val="22"/>
              </w:rPr>
              <w:t>OrgID</w:t>
            </w:r>
            <w:proofErr w:type="spellEnd"/>
            <w:r>
              <w:rPr>
                <w:rFonts w:asciiTheme="majorHAnsi" w:hAnsiTheme="majorHAnsi"/>
                <w:sz w:val="22"/>
                <w:szCs w:val="22"/>
              </w:rPr>
              <w:t xml:space="preserve"> </w:t>
            </w:r>
          </w:p>
        </w:tc>
      </w:tr>
      <w:tr w:rsidR="00255A42" w:rsidRPr="003B0A32" w14:paraId="44DB8CA5" w14:textId="77777777" w:rsidTr="00DB29F7">
        <w:tc>
          <w:tcPr>
            <w:tcW w:w="2358" w:type="dxa"/>
          </w:tcPr>
          <w:p w14:paraId="76E28EC2" w14:textId="77777777" w:rsidR="00255A42" w:rsidRPr="001C55EC" w:rsidRDefault="00255A42" w:rsidP="00255A42">
            <w:pPr>
              <w:rPr>
                <w:rFonts w:asciiTheme="majorHAnsi" w:hAnsiTheme="majorHAnsi"/>
                <w:sz w:val="22"/>
                <w:szCs w:val="22"/>
              </w:rPr>
            </w:pPr>
            <w:r w:rsidRPr="001C55EC">
              <w:rPr>
                <w:rFonts w:asciiTheme="majorHAnsi" w:hAnsiTheme="majorHAnsi"/>
                <w:sz w:val="22"/>
                <w:szCs w:val="22"/>
              </w:rPr>
              <w:t>Sub-</w:t>
            </w:r>
            <w:proofErr w:type="spellStart"/>
            <w:r>
              <w:rPr>
                <w:rFonts w:asciiTheme="majorHAnsi" w:hAnsiTheme="majorHAnsi"/>
                <w:sz w:val="22"/>
                <w:szCs w:val="22"/>
              </w:rPr>
              <w:t>T</w:t>
            </w:r>
            <w:r w:rsidRPr="001C55EC">
              <w:rPr>
                <w:rFonts w:asciiTheme="majorHAnsi" w:hAnsiTheme="majorHAnsi"/>
                <w:sz w:val="22"/>
                <w:szCs w:val="22"/>
              </w:rPr>
              <w:t>argetID</w:t>
            </w:r>
            <w:proofErr w:type="spellEnd"/>
          </w:p>
        </w:tc>
        <w:tc>
          <w:tcPr>
            <w:tcW w:w="4950" w:type="dxa"/>
          </w:tcPr>
          <w:p w14:paraId="6C8BA8E7" w14:textId="7D4C081C" w:rsidR="00255A42" w:rsidRPr="003B0A32" w:rsidRDefault="00DB29F7" w:rsidP="00DB29F7">
            <w:pPr>
              <w:rPr>
                <w:rFonts w:asciiTheme="majorHAnsi" w:hAnsiTheme="majorHAnsi"/>
                <w:sz w:val="22"/>
                <w:szCs w:val="22"/>
              </w:rPr>
            </w:pPr>
            <w:r>
              <w:rPr>
                <w:rFonts w:asciiTheme="majorHAnsi" w:hAnsiTheme="majorHAnsi"/>
                <w:sz w:val="22"/>
                <w:szCs w:val="22"/>
              </w:rPr>
              <w:t xml:space="preserve">Use </w:t>
            </w:r>
            <w:r w:rsidR="00255A42">
              <w:rPr>
                <w:rFonts w:asciiTheme="majorHAnsi" w:hAnsiTheme="majorHAnsi"/>
                <w:sz w:val="22"/>
                <w:szCs w:val="22"/>
              </w:rPr>
              <w:t xml:space="preserve">a </w:t>
            </w:r>
            <w:r>
              <w:rPr>
                <w:rFonts w:asciiTheme="majorHAnsi" w:hAnsiTheme="majorHAnsi"/>
                <w:sz w:val="22"/>
                <w:szCs w:val="22"/>
              </w:rPr>
              <w:t xml:space="preserve">free-form </w:t>
            </w:r>
            <w:r w:rsidR="00255A42">
              <w:rPr>
                <w:rFonts w:asciiTheme="majorHAnsi" w:hAnsiTheme="majorHAnsi"/>
                <w:sz w:val="22"/>
                <w:szCs w:val="22"/>
              </w:rPr>
              <w:t xml:space="preserve">text field </w:t>
            </w:r>
            <w:r>
              <w:rPr>
                <w:rFonts w:asciiTheme="majorHAnsi" w:hAnsiTheme="majorHAnsi"/>
                <w:sz w:val="22"/>
                <w:szCs w:val="22"/>
              </w:rPr>
              <w:t>and also</w:t>
            </w:r>
            <w:r w:rsidR="00255A42">
              <w:rPr>
                <w:rFonts w:asciiTheme="majorHAnsi" w:hAnsiTheme="majorHAnsi"/>
                <w:sz w:val="22"/>
                <w:szCs w:val="22"/>
              </w:rPr>
              <w:t xml:space="preserve"> a ‘local server provider assigned ID’</w:t>
            </w:r>
          </w:p>
        </w:tc>
      </w:tr>
      <w:tr w:rsidR="00255A42" w:rsidRPr="003B0A32" w14:paraId="34B89728" w14:textId="77777777" w:rsidTr="00DB29F7">
        <w:tc>
          <w:tcPr>
            <w:tcW w:w="2358" w:type="dxa"/>
          </w:tcPr>
          <w:p w14:paraId="35AF70FB" w14:textId="77777777" w:rsidR="00255A42" w:rsidRPr="001C55EC" w:rsidRDefault="00255A42" w:rsidP="00255A42">
            <w:pPr>
              <w:rPr>
                <w:rFonts w:asciiTheme="majorHAnsi" w:hAnsiTheme="majorHAnsi"/>
                <w:sz w:val="22"/>
                <w:szCs w:val="22"/>
              </w:rPr>
            </w:pPr>
            <w:r w:rsidRPr="001C55EC">
              <w:rPr>
                <w:rFonts w:asciiTheme="majorHAnsi" w:hAnsiTheme="majorHAnsi"/>
                <w:sz w:val="22"/>
                <w:szCs w:val="22"/>
              </w:rPr>
              <w:t>Encryption</w:t>
            </w:r>
          </w:p>
        </w:tc>
        <w:tc>
          <w:tcPr>
            <w:tcW w:w="4950" w:type="dxa"/>
          </w:tcPr>
          <w:p w14:paraId="268E1B43" w14:textId="7904E5F0" w:rsidR="00255A42" w:rsidRPr="003B0A32" w:rsidRDefault="00DB29F7" w:rsidP="00255A42">
            <w:pPr>
              <w:rPr>
                <w:rFonts w:asciiTheme="majorHAnsi" w:hAnsiTheme="majorHAnsi"/>
                <w:sz w:val="22"/>
                <w:szCs w:val="22"/>
              </w:rPr>
            </w:pPr>
            <w:r>
              <w:rPr>
                <w:rFonts w:asciiTheme="majorHAnsi" w:hAnsiTheme="majorHAnsi"/>
                <w:sz w:val="22"/>
                <w:szCs w:val="22"/>
              </w:rPr>
              <w:t>Joseph will propose an enumerated list</w:t>
            </w:r>
          </w:p>
        </w:tc>
      </w:tr>
      <w:tr w:rsidR="00255A42" w:rsidRPr="003B0A32" w14:paraId="787B70F0" w14:textId="77777777" w:rsidTr="00DB29F7">
        <w:tc>
          <w:tcPr>
            <w:tcW w:w="2358" w:type="dxa"/>
          </w:tcPr>
          <w:p w14:paraId="288BADC1" w14:textId="77777777" w:rsidR="00255A42" w:rsidRPr="001C55EC" w:rsidRDefault="00255A42" w:rsidP="00255A42">
            <w:pPr>
              <w:rPr>
                <w:rFonts w:asciiTheme="majorHAnsi" w:hAnsiTheme="majorHAnsi"/>
                <w:sz w:val="22"/>
                <w:szCs w:val="22"/>
              </w:rPr>
            </w:pPr>
            <w:r w:rsidRPr="001C55EC">
              <w:rPr>
                <w:rFonts w:asciiTheme="majorHAnsi" w:hAnsiTheme="majorHAnsi"/>
                <w:sz w:val="22"/>
                <w:szCs w:val="22"/>
              </w:rPr>
              <w:t>Manifest</w:t>
            </w:r>
          </w:p>
          <w:p w14:paraId="11957EE3" w14:textId="77777777" w:rsidR="00255A42" w:rsidRPr="001C55EC" w:rsidRDefault="00255A42" w:rsidP="00255A42">
            <w:pPr>
              <w:pStyle w:val="ListParagraph"/>
              <w:numPr>
                <w:ilvl w:val="0"/>
                <w:numId w:val="4"/>
              </w:numPr>
              <w:rPr>
                <w:rFonts w:asciiTheme="majorHAnsi" w:hAnsiTheme="majorHAnsi"/>
                <w:sz w:val="22"/>
                <w:szCs w:val="22"/>
              </w:rPr>
            </w:pPr>
            <w:r w:rsidRPr="001C55EC">
              <w:rPr>
                <w:rFonts w:asciiTheme="majorHAnsi" w:hAnsiTheme="majorHAnsi"/>
                <w:sz w:val="22"/>
                <w:szCs w:val="22"/>
              </w:rPr>
              <w:t>Document</w:t>
            </w:r>
            <w:r>
              <w:rPr>
                <w:rFonts w:asciiTheme="majorHAnsi" w:hAnsiTheme="majorHAnsi"/>
                <w:sz w:val="22"/>
                <w:szCs w:val="22"/>
              </w:rPr>
              <w:t xml:space="preserve"> (Transaction)</w:t>
            </w:r>
            <w:r w:rsidRPr="001C55EC">
              <w:rPr>
                <w:rFonts w:asciiTheme="majorHAnsi" w:hAnsiTheme="majorHAnsi"/>
                <w:sz w:val="22"/>
                <w:szCs w:val="22"/>
              </w:rPr>
              <w:t xml:space="preserve"> ID</w:t>
            </w:r>
          </w:p>
          <w:p w14:paraId="2F317FAA" w14:textId="77777777" w:rsidR="00255A42" w:rsidRPr="001C55EC" w:rsidRDefault="00255A42" w:rsidP="00255A42">
            <w:pPr>
              <w:pStyle w:val="ListParagraph"/>
              <w:numPr>
                <w:ilvl w:val="0"/>
                <w:numId w:val="4"/>
              </w:numPr>
              <w:rPr>
                <w:rFonts w:asciiTheme="majorHAnsi" w:hAnsiTheme="majorHAnsi"/>
                <w:sz w:val="22"/>
                <w:szCs w:val="22"/>
              </w:rPr>
            </w:pPr>
            <w:r w:rsidRPr="001C55EC">
              <w:rPr>
                <w:rFonts w:asciiTheme="majorHAnsi" w:hAnsiTheme="majorHAnsi"/>
                <w:sz w:val="22"/>
                <w:szCs w:val="22"/>
              </w:rPr>
              <w:t>Document Type</w:t>
            </w:r>
          </w:p>
        </w:tc>
        <w:tc>
          <w:tcPr>
            <w:tcW w:w="4950" w:type="dxa"/>
          </w:tcPr>
          <w:p w14:paraId="01CDDF96" w14:textId="77777777" w:rsidR="00255A42" w:rsidRPr="00DB29F7" w:rsidRDefault="00255A42" w:rsidP="00255A42">
            <w:pPr>
              <w:rPr>
                <w:rFonts w:asciiTheme="majorHAnsi" w:hAnsiTheme="majorHAnsi"/>
                <w:sz w:val="22"/>
                <w:szCs w:val="22"/>
              </w:rPr>
            </w:pPr>
            <w:r w:rsidRPr="00DB29F7">
              <w:rPr>
                <w:rFonts w:asciiTheme="majorHAnsi" w:hAnsiTheme="majorHAnsi"/>
                <w:sz w:val="22"/>
                <w:szCs w:val="22"/>
              </w:rPr>
              <w:t xml:space="preserve">Use existing PESC document ID type </w:t>
            </w:r>
          </w:p>
          <w:p w14:paraId="52072DF8" w14:textId="39848399" w:rsidR="00255A42" w:rsidRPr="003B0A32" w:rsidRDefault="00DB29F7" w:rsidP="00DB29F7">
            <w:pPr>
              <w:rPr>
                <w:rFonts w:asciiTheme="majorHAnsi" w:hAnsiTheme="majorHAnsi"/>
                <w:sz w:val="22"/>
                <w:szCs w:val="22"/>
              </w:rPr>
            </w:pPr>
            <w:r w:rsidRPr="00DB29F7">
              <w:rPr>
                <w:rFonts w:asciiTheme="majorHAnsi" w:hAnsiTheme="majorHAnsi"/>
                <w:sz w:val="22"/>
                <w:szCs w:val="22"/>
              </w:rPr>
              <w:t xml:space="preserve">Look at existing PESC </w:t>
            </w:r>
            <w:r w:rsidR="00255A42" w:rsidRPr="00DB29F7">
              <w:rPr>
                <w:rFonts w:asciiTheme="majorHAnsi" w:hAnsiTheme="majorHAnsi"/>
                <w:sz w:val="22"/>
                <w:szCs w:val="22"/>
              </w:rPr>
              <w:t>Document Type</w:t>
            </w:r>
          </w:p>
        </w:tc>
      </w:tr>
      <w:tr w:rsidR="00255A42" w:rsidRPr="003B0A32" w14:paraId="0D3666D8" w14:textId="77777777" w:rsidTr="00DB29F7">
        <w:tc>
          <w:tcPr>
            <w:tcW w:w="2358" w:type="dxa"/>
          </w:tcPr>
          <w:p w14:paraId="32A8A2F8" w14:textId="77777777" w:rsidR="00255A42" w:rsidRPr="001C55EC" w:rsidRDefault="00255A42" w:rsidP="00255A42">
            <w:pPr>
              <w:rPr>
                <w:rFonts w:asciiTheme="majorHAnsi" w:hAnsiTheme="majorHAnsi"/>
                <w:sz w:val="22"/>
                <w:szCs w:val="22"/>
              </w:rPr>
            </w:pPr>
            <w:r>
              <w:rPr>
                <w:rFonts w:asciiTheme="majorHAnsi" w:hAnsiTheme="majorHAnsi"/>
                <w:sz w:val="22"/>
                <w:szCs w:val="22"/>
              </w:rPr>
              <w:t>Physical Address</w:t>
            </w:r>
          </w:p>
        </w:tc>
        <w:tc>
          <w:tcPr>
            <w:tcW w:w="4950" w:type="dxa"/>
          </w:tcPr>
          <w:p w14:paraId="0A80E0A2" w14:textId="47E5A1E3" w:rsidR="00255A42" w:rsidRPr="00DB29F7" w:rsidRDefault="00255A42" w:rsidP="00255A42">
            <w:pPr>
              <w:rPr>
                <w:rFonts w:asciiTheme="majorHAnsi" w:hAnsiTheme="majorHAnsi"/>
                <w:sz w:val="22"/>
                <w:szCs w:val="22"/>
              </w:rPr>
            </w:pPr>
            <w:r w:rsidRPr="00DB29F7">
              <w:rPr>
                <w:rFonts w:asciiTheme="majorHAnsi" w:hAnsiTheme="majorHAnsi"/>
                <w:sz w:val="22"/>
                <w:szCs w:val="22"/>
              </w:rPr>
              <w:t xml:space="preserve">To validate the </w:t>
            </w:r>
            <w:proofErr w:type="spellStart"/>
            <w:r w:rsidRPr="00DB29F7">
              <w:rPr>
                <w:rFonts w:asciiTheme="majorHAnsi" w:hAnsiTheme="majorHAnsi"/>
                <w:sz w:val="22"/>
                <w:szCs w:val="22"/>
              </w:rPr>
              <w:t>orgID</w:t>
            </w:r>
            <w:proofErr w:type="spellEnd"/>
            <w:r w:rsidR="00DB29F7" w:rsidRPr="00DB29F7">
              <w:rPr>
                <w:rFonts w:asciiTheme="majorHAnsi" w:hAnsiTheme="majorHAnsi"/>
                <w:sz w:val="22"/>
                <w:szCs w:val="22"/>
              </w:rPr>
              <w:t xml:space="preserve"> – use existing PESC elements</w:t>
            </w:r>
          </w:p>
        </w:tc>
      </w:tr>
      <w:tr w:rsidR="00255A42" w:rsidRPr="003B0A32" w14:paraId="18D2F11B" w14:textId="77777777" w:rsidTr="00DB29F7">
        <w:tc>
          <w:tcPr>
            <w:tcW w:w="2358" w:type="dxa"/>
          </w:tcPr>
          <w:p w14:paraId="7B142496" w14:textId="77777777" w:rsidR="00255A42" w:rsidRDefault="00255A42" w:rsidP="00255A42">
            <w:pPr>
              <w:rPr>
                <w:rFonts w:asciiTheme="majorHAnsi" w:hAnsiTheme="majorHAnsi"/>
                <w:sz w:val="22"/>
                <w:szCs w:val="22"/>
              </w:rPr>
            </w:pPr>
            <w:r>
              <w:rPr>
                <w:rFonts w:asciiTheme="majorHAnsi" w:hAnsiTheme="majorHAnsi"/>
                <w:sz w:val="22"/>
                <w:szCs w:val="22"/>
              </w:rPr>
              <w:t>Org Name</w:t>
            </w:r>
          </w:p>
        </w:tc>
        <w:tc>
          <w:tcPr>
            <w:tcW w:w="4950" w:type="dxa"/>
          </w:tcPr>
          <w:p w14:paraId="4ECC9091" w14:textId="195D2D5C" w:rsidR="00255A42" w:rsidRPr="00DB29F7" w:rsidRDefault="00255A42" w:rsidP="00DB29F7">
            <w:pPr>
              <w:rPr>
                <w:rFonts w:asciiTheme="majorHAnsi" w:hAnsiTheme="majorHAnsi"/>
                <w:sz w:val="22"/>
                <w:szCs w:val="22"/>
              </w:rPr>
            </w:pPr>
            <w:r w:rsidRPr="00DB29F7">
              <w:rPr>
                <w:rFonts w:asciiTheme="majorHAnsi" w:hAnsiTheme="majorHAnsi"/>
                <w:sz w:val="22"/>
                <w:szCs w:val="22"/>
              </w:rPr>
              <w:t xml:space="preserve">Use existing </w:t>
            </w:r>
            <w:r w:rsidR="00DB29F7" w:rsidRPr="00DB29F7">
              <w:rPr>
                <w:rFonts w:asciiTheme="majorHAnsi" w:hAnsiTheme="majorHAnsi"/>
                <w:sz w:val="22"/>
                <w:szCs w:val="22"/>
              </w:rPr>
              <w:t>PESC element</w:t>
            </w:r>
          </w:p>
        </w:tc>
      </w:tr>
      <w:tr w:rsidR="00255A42" w:rsidRPr="003B0A32" w14:paraId="47B37451" w14:textId="77777777" w:rsidTr="00DB29F7">
        <w:tc>
          <w:tcPr>
            <w:tcW w:w="2358" w:type="dxa"/>
          </w:tcPr>
          <w:p w14:paraId="6F7857E5" w14:textId="77777777" w:rsidR="00255A42" w:rsidRDefault="00255A42" w:rsidP="00255A42">
            <w:pPr>
              <w:rPr>
                <w:rFonts w:asciiTheme="majorHAnsi" w:hAnsiTheme="majorHAnsi"/>
                <w:sz w:val="22"/>
                <w:szCs w:val="22"/>
              </w:rPr>
            </w:pPr>
            <w:r>
              <w:rPr>
                <w:rFonts w:asciiTheme="majorHAnsi" w:hAnsiTheme="majorHAnsi"/>
                <w:sz w:val="22"/>
                <w:szCs w:val="22"/>
              </w:rPr>
              <w:t>Sending Institution ID &amp; info</w:t>
            </w:r>
          </w:p>
        </w:tc>
        <w:tc>
          <w:tcPr>
            <w:tcW w:w="4950" w:type="dxa"/>
          </w:tcPr>
          <w:p w14:paraId="76D0EA25" w14:textId="28E8521E" w:rsidR="00255A42" w:rsidRPr="00214A68" w:rsidRDefault="00DB29F7" w:rsidP="00255A42">
            <w:pPr>
              <w:rPr>
                <w:rFonts w:asciiTheme="majorHAnsi" w:hAnsiTheme="majorHAnsi"/>
                <w:sz w:val="22"/>
                <w:szCs w:val="22"/>
              </w:rPr>
            </w:pPr>
            <w:r>
              <w:rPr>
                <w:rFonts w:asciiTheme="majorHAnsi" w:hAnsiTheme="majorHAnsi"/>
                <w:sz w:val="22"/>
                <w:szCs w:val="22"/>
              </w:rPr>
              <w:t>Use existing PESC elements</w:t>
            </w:r>
          </w:p>
        </w:tc>
      </w:tr>
    </w:tbl>
    <w:p w14:paraId="72F5CBE8" w14:textId="77777777" w:rsidR="00255A42" w:rsidRDefault="00255A42" w:rsidP="00B72D2E">
      <w:pPr>
        <w:rPr>
          <w:rFonts w:asciiTheme="majorHAnsi" w:hAnsiTheme="majorHAnsi"/>
          <w:sz w:val="22"/>
          <w:szCs w:val="22"/>
        </w:rPr>
      </w:pPr>
    </w:p>
    <w:p w14:paraId="5E468EAB" w14:textId="77777777" w:rsidR="00255A42" w:rsidRPr="00E44C6E" w:rsidRDefault="00255A42" w:rsidP="00B72D2E">
      <w:pPr>
        <w:rPr>
          <w:rFonts w:asciiTheme="majorHAnsi" w:hAnsiTheme="majorHAnsi"/>
          <w:sz w:val="22"/>
          <w:szCs w:val="22"/>
        </w:rPr>
      </w:pPr>
    </w:p>
    <w:p w14:paraId="6BC9F56A" w14:textId="77777777" w:rsidR="00315698" w:rsidRPr="003E3447" w:rsidRDefault="003E3447" w:rsidP="00B72D2E">
      <w:pPr>
        <w:rPr>
          <w:rFonts w:asciiTheme="majorHAnsi" w:hAnsiTheme="majorHAnsi"/>
          <w:b/>
          <w:sz w:val="22"/>
          <w:szCs w:val="22"/>
        </w:rPr>
      </w:pPr>
      <w:r w:rsidRPr="003E3447">
        <w:rPr>
          <w:rFonts w:asciiTheme="majorHAnsi" w:hAnsiTheme="majorHAnsi"/>
          <w:b/>
          <w:sz w:val="22"/>
          <w:szCs w:val="22"/>
        </w:rPr>
        <w:t>Next Steps</w:t>
      </w:r>
    </w:p>
    <w:p w14:paraId="6CC2785E" w14:textId="0875AC2E" w:rsidR="00315698" w:rsidRDefault="00275E99" w:rsidP="00AC3E5A">
      <w:pPr>
        <w:pStyle w:val="ListParagraph"/>
        <w:numPr>
          <w:ilvl w:val="0"/>
          <w:numId w:val="3"/>
        </w:numPr>
        <w:rPr>
          <w:rFonts w:asciiTheme="majorHAnsi" w:hAnsiTheme="majorHAnsi"/>
          <w:sz w:val="22"/>
          <w:szCs w:val="22"/>
        </w:rPr>
      </w:pPr>
      <w:r>
        <w:rPr>
          <w:rFonts w:asciiTheme="majorHAnsi" w:hAnsiTheme="majorHAnsi"/>
          <w:sz w:val="22"/>
          <w:szCs w:val="22"/>
        </w:rPr>
        <w:t>Joseph will adjust the timeline</w:t>
      </w:r>
    </w:p>
    <w:p w14:paraId="16E91FCD" w14:textId="343D3EDD" w:rsidR="00275E99" w:rsidRDefault="00275E99" w:rsidP="00AC3E5A">
      <w:pPr>
        <w:pStyle w:val="ListParagraph"/>
        <w:numPr>
          <w:ilvl w:val="0"/>
          <w:numId w:val="3"/>
        </w:numPr>
        <w:rPr>
          <w:rFonts w:asciiTheme="majorHAnsi" w:hAnsiTheme="majorHAnsi"/>
          <w:sz w:val="22"/>
          <w:szCs w:val="22"/>
        </w:rPr>
      </w:pPr>
      <w:r>
        <w:rPr>
          <w:rFonts w:asciiTheme="majorHAnsi" w:hAnsiTheme="majorHAnsi"/>
          <w:sz w:val="22"/>
          <w:szCs w:val="22"/>
        </w:rPr>
        <w:t xml:space="preserve">Lou will propose a method of assigning unique </w:t>
      </w:r>
      <w:proofErr w:type="spellStart"/>
      <w:r>
        <w:rPr>
          <w:rFonts w:asciiTheme="majorHAnsi" w:hAnsiTheme="majorHAnsi"/>
          <w:sz w:val="22"/>
          <w:szCs w:val="22"/>
        </w:rPr>
        <w:t>ServerIDs</w:t>
      </w:r>
      <w:proofErr w:type="spellEnd"/>
    </w:p>
    <w:p w14:paraId="255B223D" w14:textId="405F53DF" w:rsidR="00275E99" w:rsidRDefault="00275E99" w:rsidP="00AC3E5A">
      <w:pPr>
        <w:pStyle w:val="ListParagraph"/>
        <w:numPr>
          <w:ilvl w:val="0"/>
          <w:numId w:val="3"/>
        </w:numPr>
        <w:rPr>
          <w:rFonts w:asciiTheme="majorHAnsi" w:hAnsiTheme="majorHAnsi"/>
          <w:sz w:val="22"/>
          <w:szCs w:val="22"/>
        </w:rPr>
      </w:pPr>
      <w:r>
        <w:rPr>
          <w:rFonts w:asciiTheme="majorHAnsi" w:hAnsiTheme="majorHAnsi"/>
          <w:sz w:val="22"/>
          <w:szCs w:val="22"/>
        </w:rPr>
        <w:t>Joseph will</w:t>
      </w:r>
      <w:r w:rsidR="00255A42">
        <w:rPr>
          <w:rFonts w:asciiTheme="majorHAnsi" w:hAnsiTheme="majorHAnsi"/>
          <w:sz w:val="22"/>
          <w:szCs w:val="22"/>
        </w:rPr>
        <w:t xml:space="preserve"> update the table describing the WSDL elements and</w:t>
      </w:r>
      <w:r>
        <w:rPr>
          <w:rFonts w:asciiTheme="majorHAnsi" w:hAnsiTheme="majorHAnsi"/>
          <w:sz w:val="22"/>
          <w:szCs w:val="22"/>
        </w:rPr>
        <w:t xml:space="preserve"> incorporate the results into a revision of the WSDL.</w:t>
      </w:r>
    </w:p>
    <w:p w14:paraId="09DE28F1" w14:textId="77777777" w:rsidR="003E3447" w:rsidRDefault="003E3447" w:rsidP="003E3447">
      <w:pPr>
        <w:rPr>
          <w:rFonts w:asciiTheme="majorHAnsi" w:hAnsiTheme="majorHAnsi"/>
          <w:sz w:val="22"/>
          <w:szCs w:val="22"/>
        </w:rPr>
      </w:pPr>
    </w:p>
    <w:p w14:paraId="2AD55CC6" w14:textId="723E6C53" w:rsidR="003E3447" w:rsidRPr="003E3447" w:rsidRDefault="003E3447" w:rsidP="003E3447">
      <w:pPr>
        <w:rPr>
          <w:rFonts w:asciiTheme="majorHAnsi" w:hAnsiTheme="majorHAnsi"/>
          <w:sz w:val="22"/>
          <w:szCs w:val="22"/>
        </w:rPr>
      </w:pPr>
      <w:r w:rsidRPr="003E3447">
        <w:rPr>
          <w:rFonts w:asciiTheme="majorHAnsi" w:hAnsiTheme="majorHAnsi"/>
          <w:b/>
          <w:sz w:val="22"/>
          <w:szCs w:val="22"/>
        </w:rPr>
        <w:t>Next Meeting</w:t>
      </w:r>
      <w:r w:rsidRPr="003E3447">
        <w:rPr>
          <w:rFonts w:asciiTheme="majorHAnsi" w:hAnsiTheme="majorHAnsi"/>
          <w:sz w:val="22"/>
          <w:szCs w:val="22"/>
        </w:rPr>
        <w:t xml:space="preserve"> - Tuesday, </w:t>
      </w:r>
      <w:r w:rsidR="00DB29F7">
        <w:rPr>
          <w:rFonts w:asciiTheme="majorHAnsi" w:hAnsiTheme="majorHAnsi"/>
          <w:sz w:val="22"/>
          <w:szCs w:val="22"/>
        </w:rPr>
        <w:t>July 10</w:t>
      </w:r>
      <w:r w:rsidRPr="003E3447">
        <w:rPr>
          <w:rFonts w:asciiTheme="majorHAnsi" w:hAnsiTheme="majorHAnsi"/>
          <w:sz w:val="22"/>
          <w:szCs w:val="22"/>
        </w:rPr>
        <w:t xml:space="preserve">, 2:00 </w:t>
      </w:r>
      <w:r w:rsidR="008736CF">
        <w:rPr>
          <w:rFonts w:asciiTheme="majorHAnsi" w:hAnsiTheme="majorHAnsi"/>
          <w:sz w:val="22"/>
          <w:szCs w:val="22"/>
        </w:rPr>
        <w:t>PM</w:t>
      </w:r>
      <w:r w:rsidRPr="003E3447">
        <w:rPr>
          <w:rFonts w:asciiTheme="majorHAnsi" w:hAnsiTheme="majorHAnsi"/>
          <w:sz w:val="22"/>
          <w:szCs w:val="22"/>
        </w:rPr>
        <w:t xml:space="preserve"> Eastern/11:00 </w:t>
      </w:r>
      <w:r w:rsidR="008736CF">
        <w:rPr>
          <w:rFonts w:asciiTheme="majorHAnsi" w:hAnsiTheme="majorHAnsi"/>
          <w:sz w:val="22"/>
          <w:szCs w:val="22"/>
        </w:rPr>
        <w:t>AM</w:t>
      </w:r>
      <w:r w:rsidRPr="003E3447">
        <w:rPr>
          <w:rFonts w:asciiTheme="majorHAnsi" w:hAnsiTheme="majorHAnsi"/>
          <w:sz w:val="22"/>
          <w:szCs w:val="22"/>
        </w:rPr>
        <w:t xml:space="preserve"> Pacific.  </w:t>
      </w:r>
      <w:bookmarkStart w:id="0" w:name="_GoBack"/>
      <w:bookmarkEnd w:id="0"/>
    </w:p>
    <w:sectPr w:rsidR="003E3447" w:rsidRPr="003E3447" w:rsidSect="0086425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1B9B"/>
    <w:multiLevelType w:val="hybridMultilevel"/>
    <w:tmpl w:val="5E14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610A4"/>
    <w:multiLevelType w:val="hybridMultilevel"/>
    <w:tmpl w:val="36000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0285F"/>
    <w:multiLevelType w:val="hybridMultilevel"/>
    <w:tmpl w:val="FFEA81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F8473AC"/>
    <w:multiLevelType w:val="hybridMultilevel"/>
    <w:tmpl w:val="1E3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257"/>
    <w:rsid w:val="0011197E"/>
    <w:rsid w:val="001336D9"/>
    <w:rsid w:val="001C55EC"/>
    <w:rsid w:val="00255A42"/>
    <w:rsid w:val="0026439C"/>
    <w:rsid w:val="00275E99"/>
    <w:rsid w:val="00315698"/>
    <w:rsid w:val="003B0A32"/>
    <w:rsid w:val="003E3447"/>
    <w:rsid w:val="00582515"/>
    <w:rsid w:val="00864257"/>
    <w:rsid w:val="008736CF"/>
    <w:rsid w:val="00886C23"/>
    <w:rsid w:val="008B2D20"/>
    <w:rsid w:val="00941F8C"/>
    <w:rsid w:val="00A176D7"/>
    <w:rsid w:val="00AC3E5A"/>
    <w:rsid w:val="00B72D2E"/>
    <w:rsid w:val="00D265D5"/>
    <w:rsid w:val="00DB29F7"/>
    <w:rsid w:val="00DD0D82"/>
    <w:rsid w:val="00DE5A77"/>
    <w:rsid w:val="00E44C6E"/>
    <w:rsid w:val="00F31A17"/>
    <w:rsid w:val="00F964EE"/>
    <w:rsid w:val="00FB1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30B4C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D2E"/>
    <w:pPr>
      <w:ind w:left="720"/>
      <w:contextualSpacing/>
    </w:pPr>
  </w:style>
  <w:style w:type="paragraph" w:styleId="NoSpacing">
    <w:name w:val="No Spacing"/>
    <w:uiPriority w:val="1"/>
    <w:qFormat/>
    <w:rsid w:val="00E44C6E"/>
    <w:rPr>
      <w:rFonts w:asciiTheme="minorHAnsi" w:eastAsiaTheme="minorHAnsi" w:hAnsiTheme="minorHAnsi" w:cstheme="minorBidi"/>
      <w:sz w:val="22"/>
      <w:szCs w:val="22"/>
      <w:lang w:eastAsia="en-US"/>
    </w:rPr>
  </w:style>
  <w:style w:type="table" w:styleId="TableGrid">
    <w:name w:val="Table Grid"/>
    <w:basedOn w:val="TableNormal"/>
    <w:uiPriority w:val="59"/>
    <w:rsid w:val="003B0A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D2E"/>
    <w:pPr>
      <w:ind w:left="720"/>
      <w:contextualSpacing/>
    </w:pPr>
  </w:style>
  <w:style w:type="paragraph" w:styleId="NoSpacing">
    <w:name w:val="No Spacing"/>
    <w:uiPriority w:val="1"/>
    <w:qFormat/>
    <w:rsid w:val="00E44C6E"/>
    <w:rPr>
      <w:rFonts w:asciiTheme="minorHAnsi" w:eastAsiaTheme="minorHAnsi" w:hAnsiTheme="minorHAnsi" w:cstheme="minorBidi"/>
      <w:sz w:val="22"/>
      <w:szCs w:val="22"/>
      <w:lang w:eastAsia="en-US"/>
    </w:rPr>
  </w:style>
  <w:style w:type="table" w:styleId="TableGrid">
    <w:name w:val="Table Grid"/>
    <w:basedOn w:val="TableNormal"/>
    <w:uiPriority w:val="59"/>
    <w:rsid w:val="003B0A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266</Words>
  <Characters>1521</Characters>
  <Application>Microsoft Macintosh Word</Application>
  <DocSecurity>0</DocSecurity>
  <Lines>12</Lines>
  <Paragraphs>3</Paragraphs>
  <ScaleCrop>false</ScaleCrop>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Giroux</dc:creator>
  <cp:keywords/>
  <dc:description/>
  <cp:lastModifiedBy>Joseph Giroux</cp:lastModifiedBy>
  <cp:revision>4</cp:revision>
  <dcterms:created xsi:type="dcterms:W3CDTF">2012-06-27T16:29:00Z</dcterms:created>
  <dcterms:modified xsi:type="dcterms:W3CDTF">2012-06-27T16:55:00Z</dcterms:modified>
</cp:coreProperties>
</file>