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C7" w:rsidRDefault="00A1628C" w:rsidP="00A30513">
      <w:pPr>
        <w:pStyle w:val="NoSpacing"/>
      </w:pPr>
      <w:r>
        <w:t xml:space="preserve">To address </w:t>
      </w:r>
      <w:r w:rsidR="0080198D">
        <w:t>possible school fees</w:t>
      </w:r>
      <w:r w:rsidR="00F356FA">
        <w:t xml:space="preserve"> </w:t>
      </w:r>
      <w:r>
        <w:t xml:space="preserve">and </w:t>
      </w:r>
      <w:r w:rsidR="00F53AC7">
        <w:t xml:space="preserve">vendor-provider business models the system must support two fee mechanisms </w:t>
      </w:r>
    </w:p>
    <w:p w:rsidR="00F53AC7" w:rsidRDefault="00F53AC7" w:rsidP="00F53AC7">
      <w:pPr>
        <w:pStyle w:val="NoSpacing"/>
        <w:numPr>
          <w:ilvl w:val="0"/>
          <w:numId w:val="6"/>
        </w:numPr>
      </w:pPr>
      <w:r>
        <w:t>An existing</w:t>
      </w:r>
      <w:r w:rsidR="00A30513">
        <w:t xml:space="preserve"> </w:t>
      </w:r>
      <w:r>
        <w:t xml:space="preserve">contractual </w:t>
      </w:r>
      <w:r w:rsidR="00A30513">
        <w:t>relationship</w:t>
      </w:r>
      <w:r>
        <w:t xml:space="preserve"> between the two </w:t>
      </w:r>
      <w:r w:rsidR="00A1628C">
        <w:t xml:space="preserve">sets of clients and </w:t>
      </w:r>
      <w:r>
        <w:t>vendors</w:t>
      </w:r>
      <w:r w:rsidR="00A30513">
        <w:t xml:space="preserve"> </w:t>
      </w:r>
    </w:p>
    <w:p w:rsidR="00A30513" w:rsidRDefault="00F53AC7" w:rsidP="00F53AC7">
      <w:pPr>
        <w:pStyle w:val="NoSpacing"/>
        <w:numPr>
          <w:ilvl w:val="0"/>
          <w:numId w:val="6"/>
        </w:numPr>
      </w:pPr>
      <w:r>
        <w:t>Fee calculation, notification and ac</w:t>
      </w:r>
      <w:r w:rsidR="00F356FA">
        <w:t>ceptance in advance of delivery</w:t>
      </w:r>
    </w:p>
    <w:p w:rsidR="0080198D" w:rsidRDefault="0080198D" w:rsidP="00F73EF8">
      <w:pPr>
        <w:pStyle w:val="NoSpacing"/>
        <w:rPr>
          <w:b/>
        </w:rPr>
      </w:pPr>
    </w:p>
    <w:p w:rsidR="00376CD8" w:rsidRPr="00EC4D15" w:rsidRDefault="00F356FA" w:rsidP="00F73EF8">
      <w:pPr>
        <w:pStyle w:val="NoSpacing"/>
        <w:rPr>
          <w:b/>
        </w:rPr>
      </w:pPr>
      <w:r>
        <w:rPr>
          <w:b/>
        </w:rPr>
        <w:t>Use Cases Involving Fees</w:t>
      </w:r>
      <w:r w:rsidR="00376CD8" w:rsidRPr="00EC4D15">
        <w:rPr>
          <w:b/>
        </w:rPr>
        <w:t xml:space="preserve"> </w:t>
      </w:r>
    </w:p>
    <w:p w:rsidR="00A30513" w:rsidRDefault="00A30513" w:rsidP="00F356FA">
      <w:pPr>
        <w:pStyle w:val="NoSpacing"/>
        <w:numPr>
          <w:ilvl w:val="0"/>
          <w:numId w:val="13"/>
        </w:numPr>
      </w:pPr>
      <w:proofErr w:type="spellStart"/>
      <w:r>
        <w:t>Client_A</w:t>
      </w:r>
      <w:proofErr w:type="spellEnd"/>
      <w:r>
        <w:t xml:space="preserve"> uses </w:t>
      </w:r>
      <w:proofErr w:type="spellStart"/>
      <w:r>
        <w:t>Vendor_A</w:t>
      </w:r>
      <w:proofErr w:type="spellEnd"/>
      <w:r>
        <w:t xml:space="preserve"> to </w:t>
      </w:r>
      <w:r>
        <w:rPr>
          <w:b/>
        </w:rPr>
        <w:t xml:space="preserve">send an unsolicited document </w:t>
      </w:r>
      <w:r w:rsidR="00F7289B">
        <w:t xml:space="preserve">to </w:t>
      </w:r>
      <w:proofErr w:type="spellStart"/>
      <w:r>
        <w:t>Client_B</w:t>
      </w:r>
      <w:proofErr w:type="spellEnd"/>
      <w:r>
        <w:t xml:space="preserve"> via Vendor </w:t>
      </w:r>
      <w:r w:rsidR="00A1628C">
        <w:t>B where</w:t>
      </w:r>
      <w:r w:rsidR="00F7289B">
        <w:t xml:space="preserve"> a set fee </w:t>
      </w:r>
      <w:r>
        <w:t>has</w:t>
      </w:r>
      <w:r w:rsidR="00F7289B">
        <w:t xml:space="preserve"> been contracted between the two vendors.  </w:t>
      </w:r>
    </w:p>
    <w:p w:rsidR="00F53AC7" w:rsidRDefault="00F53AC7" w:rsidP="00F53AC7">
      <w:pPr>
        <w:pStyle w:val="NoSpacing"/>
        <w:numPr>
          <w:ilvl w:val="0"/>
          <w:numId w:val="5"/>
        </w:numPr>
      </w:pPr>
      <w:r>
        <w:t xml:space="preserve">Unsolicited in that the sender </w:t>
      </w:r>
      <w:r w:rsidR="0080198D">
        <w:t>sends</w:t>
      </w:r>
      <w:r>
        <w:t xml:space="preserve"> the document without have received a request from the recipient.</w:t>
      </w:r>
      <w:r w:rsidR="0080198D">
        <w:t xml:space="preserve"> (e.g. a student requests that his school send a transcript to another school)</w:t>
      </w:r>
    </w:p>
    <w:p w:rsidR="0080198D" w:rsidRDefault="0080198D" w:rsidP="00F53AC7">
      <w:pPr>
        <w:pStyle w:val="NoSpacing"/>
        <w:numPr>
          <w:ilvl w:val="0"/>
          <w:numId w:val="5"/>
        </w:numPr>
      </w:pPr>
      <w:r>
        <w:t>We assume that there is no charge by the receiving client for receiving the document.</w:t>
      </w:r>
    </w:p>
    <w:p w:rsidR="00F7289B" w:rsidRDefault="0080198D" w:rsidP="00F53AC7">
      <w:pPr>
        <w:pStyle w:val="NoSpacing"/>
        <w:numPr>
          <w:ilvl w:val="0"/>
          <w:numId w:val="5"/>
        </w:numPr>
      </w:pPr>
      <w:r>
        <w:t>The vendor f</w:t>
      </w:r>
      <w:r w:rsidR="00F53AC7">
        <w:t>ee</w:t>
      </w:r>
      <w:r w:rsidR="00F7289B">
        <w:t xml:space="preserve"> is set by busine</w:t>
      </w:r>
      <w:r w:rsidR="00F53AC7">
        <w:t>ss relationship between vendors.</w:t>
      </w:r>
    </w:p>
    <w:p w:rsidR="002F0FDC" w:rsidRDefault="00A30513" w:rsidP="00F73EF8">
      <w:pPr>
        <w:pStyle w:val="NoSpacing"/>
        <w:numPr>
          <w:ilvl w:val="0"/>
          <w:numId w:val="5"/>
        </w:numPr>
      </w:pPr>
      <w:r>
        <w:t>Fee calculation</w:t>
      </w:r>
      <w:r w:rsidR="00F53AC7">
        <w:t>, accounting</w:t>
      </w:r>
      <w:r>
        <w:t xml:space="preserve"> and b</w:t>
      </w:r>
      <w:r w:rsidR="00C545F1">
        <w:t>illing</w:t>
      </w:r>
      <w:r w:rsidR="00F53AC7">
        <w:t xml:space="preserve"> are</w:t>
      </w:r>
      <w:r w:rsidR="00C545F1">
        <w:t xml:space="preserve"> outside of network.</w:t>
      </w:r>
    </w:p>
    <w:p w:rsidR="002F0FDC" w:rsidRDefault="002F0FDC" w:rsidP="00F73EF8">
      <w:pPr>
        <w:pStyle w:val="NoSpacing"/>
      </w:pPr>
    </w:p>
    <w:p w:rsidR="00F356FA" w:rsidRDefault="00A30513" w:rsidP="00F356FA">
      <w:pPr>
        <w:pStyle w:val="NoSpacing"/>
        <w:numPr>
          <w:ilvl w:val="0"/>
          <w:numId w:val="13"/>
        </w:numPr>
      </w:pPr>
      <w:proofErr w:type="spellStart"/>
      <w:r>
        <w:t>Client_A</w:t>
      </w:r>
      <w:proofErr w:type="spellEnd"/>
      <w:r w:rsidR="00D455AC">
        <w:t xml:space="preserve"> of </w:t>
      </w:r>
      <w:proofErr w:type="spellStart"/>
      <w:r w:rsidR="002F0FDC">
        <w:t>Vendor</w:t>
      </w:r>
      <w:r>
        <w:t>_</w:t>
      </w:r>
      <w:r w:rsidR="002F0FDC">
        <w:t>A</w:t>
      </w:r>
      <w:proofErr w:type="spellEnd"/>
      <w:r w:rsidR="002F0FDC">
        <w:t xml:space="preserve"> </w:t>
      </w:r>
      <w:r w:rsidR="0080198D" w:rsidRPr="00A1628C">
        <w:rPr>
          <w:b/>
        </w:rPr>
        <w:t>r</w:t>
      </w:r>
      <w:r w:rsidR="002F0FDC" w:rsidRPr="00A1628C">
        <w:rPr>
          <w:b/>
        </w:rPr>
        <w:t xml:space="preserve">equests </w:t>
      </w:r>
      <w:r w:rsidR="00D455AC" w:rsidRPr="00A1628C">
        <w:rPr>
          <w:b/>
        </w:rPr>
        <w:t>a document</w:t>
      </w:r>
      <w:r w:rsidR="00D455AC">
        <w:t xml:space="preserve"> </w:t>
      </w:r>
      <w:r w:rsidR="002F0FDC">
        <w:t xml:space="preserve">from </w:t>
      </w:r>
      <w:proofErr w:type="spellStart"/>
      <w:r>
        <w:t>Client_B</w:t>
      </w:r>
      <w:proofErr w:type="spellEnd"/>
      <w:r w:rsidR="00D455AC">
        <w:t xml:space="preserve"> of </w:t>
      </w:r>
      <w:proofErr w:type="spellStart"/>
      <w:r w:rsidR="002F0FDC">
        <w:t>Vendor</w:t>
      </w:r>
      <w:r>
        <w:t>_</w:t>
      </w:r>
      <w:r w:rsidR="002F0FDC">
        <w:t>B</w:t>
      </w:r>
      <w:proofErr w:type="spellEnd"/>
    </w:p>
    <w:p w:rsidR="0080198D" w:rsidRDefault="0080198D" w:rsidP="00F356FA">
      <w:pPr>
        <w:pStyle w:val="NoSpacing"/>
        <w:numPr>
          <w:ilvl w:val="1"/>
          <w:numId w:val="13"/>
        </w:numPr>
      </w:pPr>
      <w:r>
        <w:t xml:space="preserve">The transaction cycle </w:t>
      </w:r>
      <w:r w:rsidR="00F356FA">
        <w:t>may include</w:t>
      </w:r>
      <w:r>
        <w:t xml:space="preserve"> the request, acknowledgment, a fee statement request and fee statement response, a response and/or the requested document.</w:t>
      </w:r>
    </w:p>
    <w:p w:rsidR="00301F8D" w:rsidRDefault="00301F8D" w:rsidP="00F356FA">
      <w:pPr>
        <w:pStyle w:val="NoSpacing"/>
        <w:numPr>
          <w:ilvl w:val="1"/>
          <w:numId w:val="13"/>
        </w:numPr>
      </w:pPr>
      <w:r>
        <w:t xml:space="preserve">The transaction may require </w:t>
      </w:r>
      <w:r w:rsidR="00D455AC">
        <w:t>a</w:t>
      </w:r>
      <w:r>
        <w:t xml:space="preserve"> fee calculation, notification to the requestor and agreement by the requestor.</w:t>
      </w:r>
    </w:p>
    <w:p w:rsidR="0095312D" w:rsidRDefault="0095312D" w:rsidP="00F356FA">
      <w:pPr>
        <w:pStyle w:val="NoSpacing"/>
        <w:numPr>
          <w:ilvl w:val="1"/>
          <w:numId w:val="13"/>
        </w:numPr>
      </w:pPr>
      <w:r>
        <w:t>The fee for a given transaction may depend on a number of factors and include a vendor fee component and a school fee component</w:t>
      </w:r>
    </w:p>
    <w:p w:rsidR="0095312D" w:rsidRDefault="0095312D" w:rsidP="00F356FA">
      <w:pPr>
        <w:pStyle w:val="NoSpacing"/>
        <w:numPr>
          <w:ilvl w:val="2"/>
          <w:numId w:val="13"/>
        </w:numPr>
      </w:pPr>
      <w:r>
        <w:t>School fees may be reflect differences for</w:t>
      </w:r>
    </w:p>
    <w:p w:rsidR="0095312D" w:rsidRDefault="0080198D" w:rsidP="009D64E8">
      <w:pPr>
        <w:pStyle w:val="NoSpacing"/>
        <w:numPr>
          <w:ilvl w:val="0"/>
          <w:numId w:val="7"/>
        </w:numPr>
      </w:pPr>
      <w:r>
        <w:t>A</w:t>
      </w:r>
      <w:r w:rsidR="0095312D">
        <w:t xml:space="preserve">lumni </w:t>
      </w:r>
      <w:r w:rsidR="00D455AC">
        <w:t>vs.</w:t>
      </w:r>
      <w:r w:rsidR="0095312D">
        <w:t xml:space="preserve"> active students</w:t>
      </w:r>
    </w:p>
    <w:p w:rsidR="0095312D" w:rsidRDefault="0095312D" w:rsidP="009D64E8">
      <w:pPr>
        <w:pStyle w:val="NoSpacing"/>
        <w:numPr>
          <w:ilvl w:val="0"/>
          <w:numId w:val="7"/>
        </w:numPr>
      </w:pPr>
      <w:r>
        <w:t xml:space="preserve">In state </w:t>
      </w:r>
      <w:r w:rsidR="00D455AC">
        <w:t>vs.</w:t>
      </w:r>
      <w:r>
        <w:t xml:space="preserve"> out of state</w:t>
      </w:r>
    </w:p>
    <w:p w:rsidR="00D455AC" w:rsidRDefault="00D455AC" w:rsidP="009D64E8">
      <w:pPr>
        <w:pStyle w:val="NoSpacing"/>
        <w:numPr>
          <w:ilvl w:val="0"/>
          <w:numId w:val="7"/>
        </w:numPr>
      </w:pPr>
      <w:r>
        <w:t>Agreements between schools or systems</w:t>
      </w:r>
    </w:p>
    <w:p w:rsidR="0095312D" w:rsidRDefault="0095312D" w:rsidP="009D64E8">
      <w:pPr>
        <w:pStyle w:val="NoSpacing"/>
        <w:numPr>
          <w:ilvl w:val="0"/>
          <w:numId w:val="7"/>
        </w:numPr>
      </w:pPr>
      <w:r>
        <w:t>Additional school charges</w:t>
      </w:r>
    </w:p>
    <w:p w:rsidR="00F356FA" w:rsidRDefault="0095312D" w:rsidP="00F356FA">
      <w:pPr>
        <w:pStyle w:val="NoSpacing"/>
        <w:numPr>
          <w:ilvl w:val="0"/>
          <w:numId w:val="7"/>
        </w:numPr>
      </w:pPr>
      <w:r>
        <w:t>The type of transaction (enrollment verification, degree verification, transcript)</w:t>
      </w:r>
    </w:p>
    <w:p w:rsidR="0095312D" w:rsidRDefault="0095312D" w:rsidP="00F356FA">
      <w:pPr>
        <w:pStyle w:val="NoSpacing"/>
        <w:numPr>
          <w:ilvl w:val="2"/>
          <w:numId w:val="13"/>
        </w:numPr>
      </w:pPr>
      <w:r>
        <w:t>Vendor fees may reflect differences based on</w:t>
      </w:r>
    </w:p>
    <w:p w:rsidR="00301F8D" w:rsidRDefault="00A1628C" w:rsidP="009D64E8">
      <w:pPr>
        <w:pStyle w:val="NoSpacing"/>
        <w:numPr>
          <w:ilvl w:val="0"/>
          <w:numId w:val="8"/>
        </w:numPr>
      </w:pPr>
      <w:r>
        <w:t>A c</w:t>
      </w:r>
      <w:r w:rsidR="00301F8D">
        <w:t>ontractual relationships between the two v</w:t>
      </w:r>
      <w:r w:rsidR="0095312D">
        <w:t>endor</w:t>
      </w:r>
      <w:r w:rsidR="00301F8D">
        <w:t>s</w:t>
      </w:r>
    </w:p>
    <w:p w:rsidR="0095312D" w:rsidRDefault="00301F8D" w:rsidP="009D64E8">
      <w:pPr>
        <w:pStyle w:val="NoSpacing"/>
        <w:numPr>
          <w:ilvl w:val="0"/>
          <w:numId w:val="8"/>
        </w:numPr>
      </w:pPr>
      <w:r>
        <w:t>The v</w:t>
      </w:r>
      <w:r w:rsidR="0095312D">
        <w:t>olume of transactions</w:t>
      </w:r>
    </w:p>
    <w:p w:rsidR="0095312D" w:rsidRDefault="0095312D" w:rsidP="009D64E8">
      <w:pPr>
        <w:pStyle w:val="NoSpacing"/>
        <w:numPr>
          <w:ilvl w:val="0"/>
          <w:numId w:val="8"/>
        </w:numPr>
      </w:pPr>
      <w:r>
        <w:t>The type of transaction (enrollment verification, degree verification, transcript)</w:t>
      </w:r>
    </w:p>
    <w:p w:rsidR="002F0FDC" w:rsidRDefault="002F0FDC" w:rsidP="00F73EF8">
      <w:pPr>
        <w:pStyle w:val="NoSpacing"/>
      </w:pPr>
    </w:p>
    <w:p w:rsidR="00A1628C" w:rsidRDefault="00A1628C">
      <w:pPr>
        <w:rPr>
          <w:b/>
        </w:rPr>
      </w:pPr>
      <w:r>
        <w:rPr>
          <w:b/>
        </w:rPr>
        <w:br w:type="page"/>
      </w:r>
    </w:p>
    <w:p w:rsidR="00301F8D" w:rsidRPr="009D64E8" w:rsidRDefault="00301F8D" w:rsidP="00F73EF8">
      <w:pPr>
        <w:pStyle w:val="NoSpacing"/>
        <w:rPr>
          <w:b/>
        </w:rPr>
      </w:pPr>
      <w:r w:rsidRPr="009D64E8">
        <w:rPr>
          <w:b/>
        </w:rPr>
        <w:lastRenderedPageBreak/>
        <w:t>Suggestions regarding the support for fee requirements</w:t>
      </w:r>
    </w:p>
    <w:p w:rsidR="002F0FDC" w:rsidRDefault="009D64E8" w:rsidP="009D64E8">
      <w:pPr>
        <w:pStyle w:val="NoSpacing"/>
        <w:numPr>
          <w:ilvl w:val="0"/>
          <w:numId w:val="10"/>
        </w:numPr>
      </w:pPr>
      <w:r>
        <w:t>The c</w:t>
      </w:r>
      <w:r w:rsidR="002F0FDC">
        <w:t xml:space="preserve">alculation of </w:t>
      </w:r>
      <w:r w:rsidR="00301F8D">
        <w:t xml:space="preserve">the </w:t>
      </w:r>
      <w:r w:rsidR="002F0FDC">
        <w:t xml:space="preserve">fee </w:t>
      </w:r>
      <w:r w:rsidR="00301F8D">
        <w:t>should be</w:t>
      </w:r>
      <w:r w:rsidR="002F0FDC">
        <w:t xml:space="preserve"> outside </w:t>
      </w:r>
      <w:r w:rsidR="00301F8D">
        <w:t xml:space="preserve">of </w:t>
      </w:r>
      <w:r w:rsidR="002F0FDC">
        <w:t xml:space="preserve">the </w:t>
      </w:r>
      <w:r w:rsidR="00F53AC7">
        <w:t xml:space="preserve">transmission </w:t>
      </w:r>
      <w:r w:rsidR="002F0FDC">
        <w:t>service</w:t>
      </w:r>
    </w:p>
    <w:p w:rsidR="00376CD8" w:rsidRDefault="009D64E8" w:rsidP="009D64E8">
      <w:pPr>
        <w:pStyle w:val="NoSpacing"/>
        <w:numPr>
          <w:ilvl w:val="0"/>
          <w:numId w:val="10"/>
        </w:numPr>
      </w:pPr>
      <w:r>
        <w:t>The transmission service should support the communication of the request for fee payment and the response to this request.</w:t>
      </w:r>
    </w:p>
    <w:p w:rsidR="00F356FA" w:rsidRDefault="00F356FA" w:rsidP="00F356FA">
      <w:pPr>
        <w:pStyle w:val="NoSpacing"/>
        <w:numPr>
          <w:ilvl w:val="0"/>
          <w:numId w:val="10"/>
        </w:numPr>
      </w:pPr>
      <w:r>
        <w:t xml:space="preserve">Provided the request is honored the collection of the fee should be outside of the service </w:t>
      </w:r>
    </w:p>
    <w:p w:rsidR="0080198D" w:rsidRPr="00F356FA" w:rsidRDefault="0080198D" w:rsidP="0080198D">
      <w:pPr>
        <w:pStyle w:val="NoSpacing"/>
        <w:numPr>
          <w:ilvl w:val="0"/>
          <w:numId w:val="10"/>
        </w:numPr>
        <w:rPr>
          <w:i/>
        </w:rPr>
      </w:pPr>
      <w:r w:rsidRPr="00F356FA">
        <w:rPr>
          <w:i/>
        </w:rPr>
        <w:t xml:space="preserve">Fee relationships do not need to be secret.  </w:t>
      </w:r>
    </w:p>
    <w:p w:rsidR="009D64E8" w:rsidRDefault="009D64E8" w:rsidP="00F73EF8">
      <w:pPr>
        <w:pStyle w:val="NoSpacing"/>
      </w:pPr>
    </w:p>
    <w:p w:rsidR="00301F8D" w:rsidRDefault="009D64E8" w:rsidP="00F73EF8">
      <w:pPr>
        <w:pStyle w:val="NoSpacing"/>
      </w:pPr>
      <w:r>
        <w:t>For example, i</w:t>
      </w:r>
      <w:r w:rsidR="00376CD8">
        <w:t xml:space="preserve">f </w:t>
      </w:r>
      <w:r w:rsidR="00F356FA">
        <w:t xml:space="preserve">the combined school and vendor fees for a given transaction are not covered by </w:t>
      </w:r>
      <w:r w:rsidR="00301F8D">
        <w:t>a pre-existing agreement then there would need to be a means of</w:t>
      </w:r>
    </w:p>
    <w:p w:rsidR="001E1EB8" w:rsidRDefault="001E1EB8" w:rsidP="00F73EF8">
      <w:pPr>
        <w:pStyle w:val="NoSpacing"/>
      </w:pPr>
    </w:p>
    <w:tbl>
      <w:tblPr>
        <w:tblStyle w:val="TableGrid"/>
        <w:tblW w:w="0" w:type="auto"/>
        <w:tblInd w:w="468" w:type="dxa"/>
        <w:tblLook w:val="04A0"/>
      </w:tblPr>
      <w:tblGrid>
        <w:gridCol w:w="3510"/>
        <w:gridCol w:w="4860"/>
      </w:tblGrid>
      <w:tr w:rsidR="009D64E8" w:rsidRPr="009D64E8" w:rsidTr="00F356FA">
        <w:tc>
          <w:tcPr>
            <w:tcW w:w="3510" w:type="dxa"/>
          </w:tcPr>
          <w:p w:rsidR="009D64E8" w:rsidRPr="009D64E8" w:rsidRDefault="009D64E8" w:rsidP="00321ECF">
            <w:pPr>
              <w:pStyle w:val="NoSpacing"/>
            </w:pPr>
            <w:r w:rsidRPr="009D64E8">
              <w:t>calculating the fee</w:t>
            </w:r>
          </w:p>
        </w:tc>
        <w:tc>
          <w:tcPr>
            <w:tcW w:w="4860" w:type="dxa"/>
          </w:tcPr>
          <w:p w:rsidR="009D64E8" w:rsidRPr="009D64E8" w:rsidRDefault="009D64E8" w:rsidP="00321ECF">
            <w:pPr>
              <w:pStyle w:val="NoSpacing"/>
            </w:pPr>
            <w:proofErr w:type="gramStart"/>
            <w:r w:rsidRPr="009D64E8">
              <w:t>this</w:t>
            </w:r>
            <w:proofErr w:type="gramEnd"/>
            <w:r w:rsidRPr="009D64E8">
              <w:t xml:space="preserve"> would be handled by Vendor B in support of their Client B</w:t>
            </w:r>
            <w:r w:rsidR="001E1EB8">
              <w:t xml:space="preserve"> and may require interaction with their Client in order to obtain both the school fee and the vendor fee.</w:t>
            </w:r>
          </w:p>
        </w:tc>
      </w:tr>
      <w:tr w:rsidR="009D64E8" w:rsidRPr="009D64E8" w:rsidTr="00F356FA">
        <w:tc>
          <w:tcPr>
            <w:tcW w:w="3510" w:type="dxa"/>
          </w:tcPr>
          <w:p w:rsidR="009D64E8" w:rsidRPr="009D64E8" w:rsidRDefault="009D64E8" w:rsidP="00321ECF">
            <w:pPr>
              <w:pStyle w:val="NoSpacing"/>
            </w:pPr>
            <w:r w:rsidRPr="009D64E8">
              <w:t>communicating the fee to the requestor</w:t>
            </w:r>
          </w:p>
        </w:tc>
        <w:tc>
          <w:tcPr>
            <w:tcW w:w="4860" w:type="dxa"/>
          </w:tcPr>
          <w:p w:rsidR="009D64E8" w:rsidRPr="009D64E8" w:rsidRDefault="009D64E8" w:rsidP="00321ECF">
            <w:pPr>
              <w:pStyle w:val="NoSpacing"/>
            </w:pPr>
            <w:r w:rsidRPr="009D64E8">
              <w:t>e.g. a PESC standard ‘FeeStatementRequest.xml’</w:t>
            </w:r>
          </w:p>
        </w:tc>
      </w:tr>
      <w:tr w:rsidR="009D64E8" w:rsidRPr="009D64E8" w:rsidTr="00F356FA">
        <w:tc>
          <w:tcPr>
            <w:tcW w:w="3510" w:type="dxa"/>
          </w:tcPr>
          <w:p w:rsidR="009D64E8" w:rsidRPr="009D64E8" w:rsidRDefault="009D64E8" w:rsidP="00321ECF">
            <w:pPr>
              <w:pStyle w:val="NoSpacing"/>
            </w:pPr>
            <w:r w:rsidRPr="009D64E8">
              <w:t>communicating the requestor’s agreement</w:t>
            </w:r>
          </w:p>
        </w:tc>
        <w:tc>
          <w:tcPr>
            <w:tcW w:w="4860" w:type="dxa"/>
          </w:tcPr>
          <w:p w:rsidR="009D64E8" w:rsidRPr="009D64E8" w:rsidRDefault="009D64E8" w:rsidP="00321ECF">
            <w:pPr>
              <w:pStyle w:val="NoSpacing"/>
            </w:pPr>
            <w:r w:rsidRPr="009D64E8">
              <w:t>e.g. a PESC standard ‘FeeStatementResponse.xml’</w:t>
            </w:r>
          </w:p>
        </w:tc>
      </w:tr>
      <w:tr w:rsidR="009D64E8" w:rsidRPr="009D64E8" w:rsidTr="00F356FA">
        <w:tc>
          <w:tcPr>
            <w:tcW w:w="3510" w:type="dxa"/>
          </w:tcPr>
          <w:p w:rsidR="009D64E8" w:rsidRPr="009D64E8" w:rsidRDefault="009D64E8" w:rsidP="00321ECF">
            <w:pPr>
              <w:pStyle w:val="NoSpacing"/>
            </w:pPr>
            <w:r w:rsidRPr="009D64E8">
              <w:t>completing the transaction</w:t>
            </w:r>
          </w:p>
        </w:tc>
        <w:tc>
          <w:tcPr>
            <w:tcW w:w="4860" w:type="dxa"/>
          </w:tcPr>
          <w:p w:rsidR="009D64E8" w:rsidRPr="009D64E8" w:rsidRDefault="009D64E8" w:rsidP="00321ECF">
            <w:pPr>
              <w:pStyle w:val="NoSpacing"/>
            </w:pPr>
            <w:r w:rsidRPr="009D64E8">
              <w:t>i.e. returning the requested document, e.g. a transcript</w:t>
            </w:r>
          </w:p>
        </w:tc>
      </w:tr>
      <w:tr w:rsidR="009D64E8" w:rsidRPr="009D64E8" w:rsidTr="00F356FA">
        <w:tc>
          <w:tcPr>
            <w:tcW w:w="3510" w:type="dxa"/>
          </w:tcPr>
          <w:p w:rsidR="009D64E8" w:rsidRPr="009D64E8" w:rsidRDefault="009D64E8" w:rsidP="00321ECF">
            <w:pPr>
              <w:pStyle w:val="NoSpacing"/>
            </w:pPr>
            <w:r w:rsidRPr="009D64E8">
              <w:t>collecting the fee</w:t>
            </w:r>
          </w:p>
        </w:tc>
        <w:tc>
          <w:tcPr>
            <w:tcW w:w="4860" w:type="dxa"/>
          </w:tcPr>
          <w:p w:rsidR="009D64E8" w:rsidRPr="009D64E8" w:rsidRDefault="00D455AC" w:rsidP="001E1EB8">
            <w:pPr>
              <w:pStyle w:val="NoSpacing"/>
            </w:pPr>
            <w:r>
              <w:t xml:space="preserve">A requirement </w:t>
            </w:r>
            <w:r w:rsidR="001E1EB8">
              <w:t>for</w:t>
            </w:r>
            <w:r>
              <w:t xml:space="preserve"> participation in the network might be that the parties must agree to pay for charges that they accrue. </w:t>
            </w:r>
            <w:r w:rsidR="001E1EB8">
              <w:t xml:space="preserve"> It may be possible to use </w:t>
            </w:r>
            <w:proofErr w:type="spellStart"/>
            <w:r>
              <w:t>Paypal</w:t>
            </w:r>
            <w:proofErr w:type="spellEnd"/>
            <w:r>
              <w:t xml:space="preserve"> accounts or other method</w:t>
            </w:r>
            <w:r w:rsidR="001E1EB8">
              <w:t>s</w:t>
            </w:r>
            <w:r>
              <w:t xml:space="preserve"> of micropayments </w:t>
            </w:r>
            <w:r w:rsidR="001E1EB8">
              <w:t xml:space="preserve">and build support for these into the </w:t>
            </w:r>
            <w:proofErr w:type="spellStart"/>
            <w:r w:rsidR="001E1EB8">
              <w:t>FeeStatementRequest</w:t>
            </w:r>
            <w:proofErr w:type="spellEnd"/>
            <w:r w:rsidR="001E1EB8">
              <w:t>/</w:t>
            </w:r>
            <w:proofErr w:type="spellStart"/>
            <w:r w:rsidR="001E1EB8">
              <w:t>FeeStatementResponse</w:t>
            </w:r>
            <w:proofErr w:type="spellEnd"/>
            <w:r w:rsidR="001E1EB8">
              <w:t xml:space="preserve"> protocols. </w:t>
            </w:r>
          </w:p>
        </w:tc>
      </w:tr>
    </w:tbl>
    <w:p w:rsidR="00153116" w:rsidRDefault="00153116" w:rsidP="00153116">
      <w:pPr>
        <w:pStyle w:val="NoSpacing"/>
      </w:pPr>
    </w:p>
    <w:p w:rsidR="00153116" w:rsidRDefault="00153116" w:rsidP="00153116">
      <w:pPr>
        <w:pStyle w:val="NoSpacing"/>
      </w:pPr>
    </w:p>
    <w:p w:rsidR="00153116" w:rsidRDefault="00153116">
      <w:r>
        <w:br w:type="page"/>
      </w:r>
    </w:p>
    <w:p w:rsidR="00153116" w:rsidRDefault="00153116" w:rsidP="00153116">
      <w:pPr>
        <w:pStyle w:val="NoSpacing"/>
      </w:pPr>
      <w:r>
        <w:lastRenderedPageBreak/>
        <w:t xml:space="preserve">These high level flow diagrams are intended to describe </w:t>
      </w:r>
    </w:p>
    <w:p w:rsidR="00153116" w:rsidRDefault="00153116" w:rsidP="00153116">
      <w:pPr>
        <w:pStyle w:val="NoSpacing"/>
        <w:numPr>
          <w:ilvl w:val="0"/>
          <w:numId w:val="15"/>
        </w:numPr>
        <w:ind w:left="720" w:hanging="360"/>
      </w:pPr>
      <w:r>
        <w:t xml:space="preserve">A possible transaction flow for a document request, fee statement and response and ultimate document delivery.   </w:t>
      </w:r>
    </w:p>
    <w:p w:rsidR="00153116" w:rsidRDefault="00153116" w:rsidP="00153116">
      <w:pPr>
        <w:pStyle w:val="NoSpacing"/>
        <w:numPr>
          <w:ilvl w:val="0"/>
          <w:numId w:val="15"/>
        </w:numPr>
        <w:ind w:left="720" w:hanging="360"/>
      </w:pPr>
      <w:r>
        <w:t>Periodic invoicing and payments to reconcile fee accounts.</w:t>
      </w:r>
    </w:p>
    <w:p w:rsidR="00153116" w:rsidRDefault="00153116" w:rsidP="00153116">
      <w:pPr>
        <w:pStyle w:val="NoSpacing"/>
      </w:pPr>
    </w:p>
    <w:p w:rsidR="00153116" w:rsidRPr="009F7416" w:rsidRDefault="00153116" w:rsidP="00153116">
      <w:pPr>
        <w:pStyle w:val="NoSpacing"/>
      </w:pPr>
      <w:r w:rsidRPr="00153116">
        <w:drawing>
          <wp:inline distT="0" distB="0" distL="0" distR="0">
            <wp:extent cx="5943600" cy="4923187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3116" w:rsidRPr="009F7416" w:rsidSect="001531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F2D" w:rsidRDefault="00FB2F2D" w:rsidP="00153116">
      <w:pPr>
        <w:spacing w:after="0" w:line="240" w:lineRule="auto"/>
      </w:pPr>
      <w:r>
        <w:separator/>
      </w:r>
    </w:p>
  </w:endnote>
  <w:endnote w:type="continuationSeparator" w:id="0">
    <w:p w:rsidR="00FB2F2D" w:rsidRDefault="00FB2F2D" w:rsidP="00153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CDE" w:rsidRDefault="00735C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22704"/>
      <w:docPartObj>
        <w:docPartGallery w:val="Page Numbers (Bottom of Page)"/>
        <w:docPartUnique/>
      </w:docPartObj>
    </w:sdtPr>
    <w:sdtContent>
      <w:p w:rsidR="00153116" w:rsidRDefault="00153116">
        <w:pPr>
          <w:pStyle w:val="Footer"/>
          <w:jc w:val="center"/>
        </w:pPr>
        <w:fldSimple w:instr=" PAGE   \* MERGEFORMAT ">
          <w:r w:rsidR="00735CDE">
            <w:rPr>
              <w:noProof/>
            </w:rPr>
            <w:t>1</w:t>
          </w:r>
        </w:fldSimple>
      </w:p>
    </w:sdtContent>
  </w:sdt>
  <w:p w:rsidR="00153116" w:rsidRDefault="001531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CDE" w:rsidRDefault="00735C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F2D" w:rsidRDefault="00FB2F2D" w:rsidP="00153116">
      <w:pPr>
        <w:spacing w:after="0" w:line="240" w:lineRule="auto"/>
      </w:pPr>
      <w:r>
        <w:separator/>
      </w:r>
    </w:p>
  </w:footnote>
  <w:footnote w:type="continuationSeparator" w:id="0">
    <w:p w:rsidR="00FB2F2D" w:rsidRDefault="00FB2F2D" w:rsidP="00153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CDE" w:rsidRDefault="00735C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CDE" w:rsidRPr="00A1628C" w:rsidRDefault="00735CDE" w:rsidP="00735CDE">
    <w:pPr>
      <w:spacing w:after="0"/>
      <w:rPr>
        <w:rStyle w:val="SubtleEmphasis"/>
        <w:b/>
        <w:i w:val="0"/>
        <w:color w:val="000000" w:themeColor="text1"/>
      </w:rPr>
    </w:pPr>
    <w:r w:rsidRPr="00A1628C">
      <w:rPr>
        <w:rStyle w:val="SubtleEmphasis"/>
        <w:b/>
        <w:i w:val="0"/>
        <w:color w:val="000000" w:themeColor="text1"/>
      </w:rPr>
      <w:t>PESC Common Data Services Task Force</w:t>
    </w:r>
  </w:p>
  <w:p w:rsidR="00735CDE" w:rsidRPr="00A1628C" w:rsidRDefault="00735CDE" w:rsidP="00735CDE">
    <w:pPr>
      <w:pStyle w:val="NoSpacing"/>
      <w:rPr>
        <w:b/>
      </w:rPr>
    </w:pPr>
    <w:r w:rsidRPr="00A1628C">
      <w:rPr>
        <w:b/>
      </w:rPr>
      <w:t>Results from Dec 8, 2011 discussion regarding Fee Structures</w:t>
    </w:r>
  </w:p>
  <w:p w:rsidR="00735CDE" w:rsidRPr="00A1628C" w:rsidRDefault="00735CDE" w:rsidP="00735CDE">
    <w:pPr>
      <w:pStyle w:val="NoSpacing"/>
      <w:rPr>
        <w:b/>
      </w:rPr>
    </w:pPr>
    <w:r w:rsidRPr="00A1628C">
      <w:rPr>
        <w:b/>
      </w:rPr>
      <w:t>By Mark Cohen and Joseph Giroux</w:t>
    </w:r>
  </w:p>
  <w:p w:rsidR="00735CDE" w:rsidRDefault="00735CDE" w:rsidP="00735CDE">
    <w:pPr>
      <w:pStyle w:val="Header"/>
      <w:pBdr>
        <w:top w:val="single" w:sz="4" w:space="1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CDE" w:rsidRDefault="00735C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FB8"/>
    <w:multiLevelType w:val="hybridMultilevel"/>
    <w:tmpl w:val="6712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451F"/>
    <w:multiLevelType w:val="hybridMultilevel"/>
    <w:tmpl w:val="F13E9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07E55"/>
    <w:multiLevelType w:val="hybridMultilevel"/>
    <w:tmpl w:val="90FA4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9F3917"/>
    <w:multiLevelType w:val="multilevel"/>
    <w:tmpl w:val="C964BE18"/>
    <w:lvl w:ilvl="0">
      <w:start w:val="1"/>
      <w:numFmt w:val="decimal"/>
      <w:pStyle w:val="Heading3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9D055C7"/>
    <w:multiLevelType w:val="hybridMultilevel"/>
    <w:tmpl w:val="EF16A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1B6D"/>
    <w:multiLevelType w:val="hybridMultilevel"/>
    <w:tmpl w:val="9FD6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57A78"/>
    <w:multiLevelType w:val="hybridMultilevel"/>
    <w:tmpl w:val="4708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D6FE3"/>
    <w:multiLevelType w:val="hybridMultilevel"/>
    <w:tmpl w:val="A7ECB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871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C6601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FF0472B"/>
    <w:multiLevelType w:val="multilevel"/>
    <w:tmpl w:val="8B5CD2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0DA60DC"/>
    <w:multiLevelType w:val="hybridMultilevel"/>
    <w:tmpl w:val="4A38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15425"/>
    <w:multiLevelType w:val="hybridMultilevel"/>
    <w:tmpl w:val="B322AAF0"/>
    <w:lvl w:ilvl="0" w:tplc="F8DA72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A93D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371155B"/>
    <w:multiLevelType w:val="hybridMultilevel"/>
    <w:tmpl w:val="DB82B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3"/>
  </w:num>
  <w:num w:numId="5">
    <w:abstractNumId w:val="11"/>
  </w:num>
  <w:num w:numId="6">
    <w:abstractNumId w:val="0"/>
  </w:num>
  <w:num w:numId="7">
    <w:abstractNumId w:val="14"/>
  </w:num>
  <w:num w:numId="8">
    <w:abstractNumId w:val="2"/>
  </w:num>
  <w:num w:numId="9">
    <w:abstractNumId w:val="13"/>
  </w:num>
  <w:num w:numId="10">
    <w:abstractNumId w:val="9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76210"/>
    <w:rsid w:val="00145EFF"/>
    <w:rsid w:val="00153116"/>
    <w:rsid w:val="001E1EB8"/>
    <w:rsid w:val="00204D5D"/>
    <w:rsid w:val="00276210"/>
    <w:rsid w:val="002F0FDC"/>
    <w:rsid w:val="00300881"/>
    <w:rsid w:val="00301F8D"/>
    <w:rsid w:val="003074F1"/>
    <w:rsid w:val="00307E14"/>
    <w:rsid w:val="00376CD8"/>
    <w:rsid w:val="00411A79"/>
    <w:rsid w:val="005E5224"/>
    <w:rsid w:val="00735CDE"/>
    <w:rsid w:val="007B5E2E"/>
    <w:rsid w:val="0080198D"/>
    <w:rsid w:val="008F6735"/>
    <w:rsid w:val="0094346F"/>
    <w:rsid w:val="0095312D"/>
    <w:rsid w:val="00992A79"/>
    <w:rsid w:val="009D64E8"/>
    <w:rsid w:val="009F13DB"/>
    <w:rsid w:val="009F7416"/>
    <w:rsid w:val="00A1628C"/>
    <w:rsid w:val="00A30513"/>
    <w:rsid w:val="00A53337"/>
    <w:rsid w:val="00C545F1"/>
    <w:rsid w:val="00D455AC"/>
    <w:rsid w:val="00D65438"/>
    <w:rsid w:val="00DF02D4"/>
    <w:rsid w:val="00EC4D15"/>
    <w:rsid w:val="00F356FA"/>
    <w:rsid w:val="00F53AC7"/>
    <w:rsid w:val="00F7289B"/>
    <w:rsid w:val="00F73EF8"/>
    <w:rsid w:val="00FB2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F8"/>
  </w:style>
  <w:style w:type="paragraph" w:styleId="Heading1">
    <w:name w:val="heading 1"/>
    <w:basedOn w:val="Normal"/>
    <w:next w:val="Normal"/>
    <w:link w:val="Heading1Char"/>
    <w:uiPriority w:val="9"/>
    <w:qFormat/>
    <w:rsid w:val="00F73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EF8"/>
    <w:pPr>
      <w:keepNext/>
      <w:keepLines/>
      <w:numPr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E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E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E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E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E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3E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E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3E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3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3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73E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73E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73E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73E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7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73EF8"/>
    <w:rPr>
      <w:b/>
      <w:bCs/>
    </w:rPr>
  </w:style>
  <w:style w:type="character" w:styleId="Emphasis">
    <w:name w:val="Emphasis"/>
    <w:basedOn w:val="DefaultParagraphFont"/>
    <w:uiPriority w:val="20"/>
    <w:qFormat/>
    <w:rsid w:val="00F73EF8"/>
    <w:rPr>
      <w:i/>
      <w:iCs/>
    </w:rPr>
  </w:style>
  <w:style w:type="paragraph" w:styleId="NoSpacing">
    <w:name w:val="No Spacing"/>
    <w:uiPriority w:val="1"/>
    <w:qFormat/>
    <w:rsid w:val="00F73E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3E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3E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3E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E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E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73E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73E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73E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73E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73E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EF8"/>
    <w:pPr>
      <w:outlineLvl w:val="9"/>
    </w:pPr>
  </w:style>
  <w:style w:type="table" w:styleId="TableGrid">
    <w:name w:val="Table Grid"/>
    <w:basedOn w:val="TableNormal"/>
    <w:uiPriority w:val="59"/>
    <w:rsid w:val="0027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F73E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3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116"/>
  </w:style>
  <w:style w:type="paragraph" w:styleId="Footer">
    <w:name w:val="footer"/>
    <w:basedOn w:val="Normal"/>
    <w:link w:val="FooterChar"/>
    <w:uiPriority w:val="99"/>
    <w:unhideWhenUsed/>
    <w:rsid w:val="00153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1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6</cp:revision>
  <dcterms:created xsi:type="dcterms:W3CDTF">2011-12-11T20:21:00Z</dcterms:created>
  <dcterms:modified xsi:type="dcterms:W3CDTF">2011-12-15T17:32:00Z</dcterms:modified>
</cp:coreProperties>
</file>