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091" w:rsidRDefault="00853065" w:rsidP="00682091">
      <w:pPr>
        <w:pStyle w:val="Heading2"/>
      </w:pPr>
      <w:proofErr w:type="spellStart"/>
      <w:r>
        <w:t>Paypal</w:t>
      </w:r>
      <w:proofErr w:type="spellEnd"/>
      <w:r>
        <w:t xml:space="preserve"> </w:t>
      </w:r>
      <w:proofErr w:type="spellStart"/>
      <w:r w:rsidR="00682091">
        <w:t>MicroPayments</w:t>
      </w:r>
      <w:proofErr w:type="spellEnd"/>
      <w:r w:rsidR="00682091">
        <w:t xml:space="preserve"> </w:t>
      </w:r>
      <w:r>
        <w:t xml:space="preserve">Rates </w:t>
      </w:r>
      <w:proofErr w:type="spellStart"/>
      <w:r>
        <w:t>vs</w:t>
      </w:r>
      <w:proofErr w:type="spellEnd"/>
      <w:r>
        <w:t xml:space="preserve"> Regular Rates</w:t>
      </w:r>
    </w:p>
    <w:p w:rsidR="001C421D" w:rsidRPr="001C421D" w:rsidRDefault="001C421D">
      <w:r>
        <w:t xml:space="preserve">Micropayments =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5% + $0.05</w:t>
      </w:r>
    </w:p>
    <w:p w:rsidR="001C421D" w:rsidRDefault="001C421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Regular Rate = 2.9% + $0.30</w:t>
      </w:r>
    </w:p>
    <w:p w:rsidR="001C421D" w:rsidRDefault="001C421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C421D" w:rsidRDefault="001C421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tbl>
      <w:tblPr>
        <w:tblW w:w="9000" w:type="dxa"/>
        <w:tblCellSpacing w:w="15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6"/>
        <w:gridCol w:w="2346"/>
        <w:gridCol w:w="2018"/>
      </w:tblGrid>
      <w:tr w:rsidR="001C421D" w:rsidRPr="001C421D" w:rsidTr="001C421D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</w:rPr>
              <w:t>Merchant Rate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</w:rPr>
              <w:t>Micropayments</w:t>
            </w:r>
            <w:r w:rsidRPr="001C421D">
              <w:rPr>
                <w:rFonts w:ascii="Verdana" w:eastAsia="Times New Roman" w:hAnsi="Verdana" w:cs="Times New Roman"/>
                <w:b/>
                <w:bCs/>
                <w:color w:val="000080"/>
                <w:sz w:val="17"/>
              </w:rPr>
              <w:t> </w:t>
            </w:r>
            <w:r w:rsidRPr="001C421D"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</w:rPr>
              <w:br/>
              <w:t>5% + $0.05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</w:rPr>
              <w:t>Regular</w:t>
            </w:r>
            <w:r w:rsidRPr="001C421D">
              <w:rPr>
                <w:rFonts w:ascii="Verdana" w:eastAsia="Times New Roman" w:hAnsi="Verdana" w:cs="Times New Roman"/>
                <w:b/>
                <w:bCs/>
                <w:color w:val="000080"/>
                <w:sz w:val="17"/>
              </w:rPr>
              <w:t> </w:t>
            </w:r>
            <w:r w:rsidRPr="001C421D"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</w:rPr>
              <w:br/>
              <w:t>2.9% +$0.30</w:t>
            </w:r>
          </w:p>
        </w:tc>
      </w:tr>
      <w:tr w:rsidR="001C421D" w:rsidRPr="001C421D" w:rsidTr="001C42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Payment 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$2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$2</w:t>
            </w:r>
          </w:p>
        </w:tc>
      </w:tr>
      <w:tr w:rsidR="001C421D" w:rsidRPr="001C421D" w:rsidTr="001C42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Cost to receive payment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$0.15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$0.36</w:t>
            </w:r>
          </w:p>
        </w:tc>
      </w:tr>
      <w:tr w:rsidR="001C421D" w:rsidRPr="001C421D" w:rsidTr="001C42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Total cost to receive 100 payments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$15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21D" w:rsidRPr="001C421D" w:rsidRDefault="001C421D" w:rsidP="001C421D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1C421D">
              <w:rPr>
                <w:rFonts w:ascii="Verdana" w:eastAsia="Times New Roman" w:hAnsi="Verdana" w:cs="Times New Roman"/>
                <w:sz w:val="17"/>
                <w:szCs w:val="17"/>
              </w:rPr>
              <w:t>$36</w:t>
            </w:r>
          </w:p>
        </w:tc>
      </w:tr>
    </w:tbl>
    <w:p w:rsidR="001C421D" w:rsidRDefault="001C421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C421D" w:rsidRDefault="001C421D" w:rsidP="00682091">
      <w:pPr>
        <w:pStyle w:val="Heading2"/>
      </w:pPr>
      <w:r>
        <w:t>Adaptive Payments</w:t>
      </w:r>
      <w:r w:rsidR="00682091">
        <w:t xml:space="preserve"> API</w:t>
      </w:r>
    </w:p>
    <w:p w:rsidR="00682091" w:rsidRPr="00682091" w:rsidRDefault="00682091" w:rsidP="00682091">
      <w:r>
        <w:t xml:space="preserve">PayPal Adaptive Payments API info = </w:t>
      </w:r>
      <w:hyperlink r:id="rId7" w:history="1">
        <w:r>
          <w:rPr>
            <w:rStyle w:val="Hyperlink"/>
          </w:rPr>
          <w:t>https://www.x.com/developers/paypal/documentation-tools/quick-start-guides/adaptive-payments-api</w:t>
        </w:r>
      </w:hyperlink>
    </w:p>
    <w:p w:rsidR="00682091" w:rsidRDefault="00682091"/>
    <w:p w:rsidR="00682091" w:rsidRDefault="00682091">
      <w:r>
        <w:t>The</w:t>
      </w:r>
      <w:r w:rsidR="001C421D">
        <w:t xml:space="preserve"> </w:t>
      </w:r>
      <w:proofErr w:type="spellStart"/>
      <w:r w:rsidR="001C421D">
        <w:t>Paypal</w:t>
      </w:r>
      <w:proofErr w:type="spellEnd"/>
      <w:r w:rsidR="001C421D">
        <w:t xml:space="preserve"> </w:t>
      </w:r>
      <w:r>
        <w:t xml:space="preserve">Adaptive Payments </w:t>
      </w:r>
      <w:r w:rsidR="001C421D">
        <w:t xml:space="preserve">API </w:t>
      </w:r>
      <w:r>
        <w:t xml:space="preserve">supports four payment scenarios.  </w:t>
      </w:r>
    </w:p>
    <w:p w:rsidR="00682091" w:rsidRDefault="00682091"/>
    <w:p w:rsidR="00682091" w:rsidRPr="00682091" w:rsidRDefault="00682091" w:rsidP="00682091">
      <w:pPr>
        <w:rPr>
          <w:i/>
        </w:rPr>
      </w:pPr>
      <w:r>
        <w:rPr>
          <w:i/>
        </w:rPr>
        <w:t>The first two</w:t>
      </w:r>
      <w:r w:rsidRPr="00682091">
        <w:rPr>
          <w:i/>
        </w:rPr>
        <w:t xml:space="preserve"> methods appear to involve manual </w:t>
      </w:r>
      <w:r w:rsidR="00FD03C4">
        <w:rPr>
          <w:i/>
        </w:rPr>
        <w:t xml:space="preserve">access by the payer </w:t>
      </w:r>
    </w:p>
    <w:p w:rsidR="00682091" w:rsidRPr="00682091" w:rsidRDefault="00682091" w:rsidP="00682091">
      <w:pPr>
        <w:pStyle w:val="ListParagraph"/>
        <w:numPr>
          <w:ilvl w:val="0"/>
          <w:numId w:val="1"/>
        </w:numPr>
      </w:pPr>
      <w:r w:rsidRPr="00682091">
        <w:t>Web Redirect</w:t>
      </w:r>
      <w:r>
        <w:t xml:space="preserve"> = </w:t>
      </w:r>
      <w:proofErr w:type="gramStart"/>
      <w:r w:rsidRPr="00682091">
        <w:t>The</w:t>
      </w:r>
      <w:proofErr w:type="gramEnd"/>
      <w:r w:rsidRPr="00682091">
        <w:t xml:space="preserve"> default method where applications redirect the sender of the payment to PayPal for approval.</w:t>
      </w:r>
      <w:r>
        <w:t xml:space="preserve"> </w:t>
      </w:r>
    </w:p>
    <w:p w:rsidR="00682091" w:rsidRPr="00682091" w:rsidRDefault="00682091" w:rsidP="00682091">
      <w:pPr>
        <w:pStyle w:val="ListParagraph"/>
        <w:numPr>
          <w:ilvl w:val="0"/>
          <w:numId w:val="1"/>
        </w:numPr>
      </w:pPr>
      <w:r w:rsidRPr="00682091">
        <w:t>Embedded Process</w:t>
      </w:r>
      <w:r>
        <w:t xml:space="preserve"> = </w:t>
      </w:r>
      <w:r w:rsidRPr="00682091">
        <w:t>Applications embed the payment authorization process into the application itself.</w:t>
      </w:r>
    </w:p>
    <w:p w:rsidR="00682091" w:rsidRDefault="00682091"/>
    <w:p w:rsidR="00682091" w:rsidRPr="00682091" w:rsidRDefault="00682091">
      <w:pPr>
        <w:rPr>
          <w:i/>
        </w:rPr>
      </w:pPr>
      <w:r w:rsidRPr="00682091">
        <w:rPr>
          <w:i/>
        </w:rPr>
        <w:t>These methods are automated</w:t>
      </w:r>
    </w:p>
    <w:p w:rsidR="001C421D" w:rsidRDefault="001C421D" w:rsidP="00682091">
      <w:pPr>
        <w:pStyle w:val="ListParagraph"/>
        <w:numPr>
          <w:ilvl w:val="0"/>
          <w:numId w:val="1"/>
        </w:numPr>
      </w:pPr>
      <w:r w:rsidRPr="001C421D">
        <w:t>Implicit</w:t>
      </w:r>
      <w:r>
        <w:t xml:space="preserve"> = </w:t>
      </w:r>
      <w:r w:rsidRPr="001C421D">
        <w:t>Applications act as the sender of the payment and implicitly authorize the payment.</w:t>
      </w:r>
    </w:p>
    <w:p w:rsidR="008E4796" w:rsidRPr="008E4796" w:rsidRDefault="008E4796" w:rsidP="008E4796">
      <w:pPr>
        <w:ind w:left="720"/>
        <w:rPr>
          <w:i/>
        </w:rPr>
      </w:pPr>
      <w:r w:rsidRPr="008E4796">
        <w:rPr>
          <w:i/>
        </w:rPr>
        <w:t>The party that calls the API is sending the payment</w:t>
      </w:r>
    </w:p>
    <w:p w:rsidR="008E4796" w:rsidRPr="001C421D" w:rsidRDefault="008E4796" w:rsidP="008E4796">
      <w:pPr>
        <w:ind w:left="720"/>
      </w:pPr>
    </w:p>
    <w:p w:rsidR="001C421D" w:rsidRDefault="001C421D" w:rsidP="00682091">
      <w:pPr>
        <w:pStyle w:val="ListParagraph"/>
        <w:numPr>
          <w:ilvl w:val="0"/>
          <w:numId w:val="1"/>
        </w:numPr>
      </w:pPr>
      <w:r w:rsidRPr="001C421D">
        <w:t>Preapproved</w:t>
      </w:r>
      <w:r>
        <w:t xml:space="preserve"> = </w:t>
      </w:r>
      <w:r w:rsidRPr="001C421D">
        <w:t>Applications obtain a preapproval from the sender.</w:t>
      </w:r>
      <w:r w:rsidR="00FD03C4">
        <w:t xml:space="preserve"> (More on this below)</w:t>
      </w:r>
    </w:p>
    <w:p w:rsidR="008E4796" w:rsidRPr="008E4796" w:rsidRDefault="008E4796" w:rsidP="008E4796">
      <w:pPr>
        <w:ind w:left="720"/>
        <w:rPr>
          <w:i/>
        </w:rPr>
      </w:pPr>
      <w:r w:rsidRPr="008E4796">
        <w:rPr>
          <w:i/>
        </w:rPr>
        <w:t>The party calling the API is receiving the payment</w:t>
      </w:r>
    </w:p>
    <w:p w:rsidR="008E4796" w:rsidRDefault="008E4796" w:rsidP="008E4796"/>
    <w:p w:rsidR="001C421D" w:rsidRDefault="001C421D" w:rsidP="001C421D"/>
    <w:p w:rsidR="001C421D" w:rsidRDefault="001C421D">
      <w:r>
        <w:t>The API caller is a 3</w:t>
      </w:r>
      <w:r w:rsidRPr="001C421D">
        <w:rPr>
          <w:vertAlign w:val="superscript"/>
        </w:rPr>
        <w:t>rd</w:t>
      </w:r>
      <w:r>
        <w:t xml:space="preserve"> party application (typically owned by the developer) that is authorized to initiate payments. </w:t>
      </w:r>
    </w:p>
    <w:p w:rsidR="001C421D" w:rsidRDefault="001C421D"/>
    <w:p w:rsidR="00682091" w:rsidRDefault="00682091" w:rsidP="00853065">
      <w:pPr>
        <w:jc w:val="center"/>
      </w:pPr>
      <w:r>
        <w:rPr>
          <w:noProof/>
        </w:rPr>
        <w:drawing>
          <wp:inline distT="0" distB="0" distL="0" distR="0">
            <wp:extent cx="3600450" cy="2402370"/>
            <wp:effectExtent l="19050" t="0" r="0" b="0"/>
            <wp:docPr id="1" name="Picture 1" descr="Adaptive Payments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ive Payments Over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96" cy="240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091" w:rsidRDefault="00682091"/>
    <w:p w:rsidR="008E4796" w:rsidRDefault="00243BB7">
      <w:r>
        <w:t xml:space="preserve">Payments and </w:t>
      </w:r>
      <w:proofErr w:type="spellStart"/>
      <w:r w:rsidR="00853065">
        <w:t>paypal</w:t>
      </w:r>
      <w:proofErr w:type="spellEnd"/>
      <w:r w:rsidR="00853065">
        <w:t xml:space="preserve"> transaction </w:t>
      </w:r>
      <w:r>
        <w:t>fees</w:t>
      </w:r>
      <w:r w:rsidR="008E4796">
        <w:t xml:space="preserve"> can flow from the sender to multiple recipients</w:t>
      </w:r>
      <w:r>
        <w:t xml:space="preserve">.  For example a vendor (primary recipient) and the college (secondary recipient) can each receive payments to their own </w:t>
      </w:r>
      <w:proofErr w:type="spellStart"/>
      <w:r>
        <w:t>paypal</w:t>
      </w:r>
      <w:proofErr w:type="spellEnd"/>
      <w:r>
        <w:t xml:space="preserve"> accounts.  However, </w:t>
      </w:r>
      <w:proofErr w:type="gramStart"/>
      <w:r w:rsidR="00853065">
        <w:t>In</w:t>
      </w:r>
      <w:proofErr w:type="gramEnd"/>
      <w:r w:rsidR="00853065">
        <w:t xml:space="preserve"> this case </w:t>
      </w:r>
      <w:proofErr w:type="spellStart"/>
      <w:r>
        <w:t>Paypal</w:t>
      </w:r>
      <w:proofErr w:type="spellEnd"/>
      <w:r>
        <w:t xml:space="preserve"> charges fees for each </w:t>
      </w:r>
      <w:r w:rsidR="00694B83">
        <w:t xml:space="preserve">of the two </w:t>
      </w:r>
      <w:r>
        <w:t>payment transaction</w:t>
      </w:r>
      <w:r w:rsidR="00694B83">
        <w:t>s</w:t>
      </w:r>
      <w:r>
        <w:t xml:space="preserve">.  These fees can be charged to each recipient or only to the </w:t>
      </w:r>
      <w:r w:rsidR="00694B83">
        <w:t>vendor</w:t>
      </w:r>
      <w:r>
        <w:t xml:space="preserve">.  </w:t>
      </w:r>
    </w:p>
    <w:p w:rsidR="00311DA2" w:rsidRDefault="00311DA2" w:rsidP="00311DA2">
      <w:pPr>
        <w:pStyle w:val="Heading2"/>
      </w:pPr>
      <w:r>
        <w:t>Establishing Pre Approval Agreements</w:t>
      </w:r>
    </w:p>
    <w:p w:rsidR="00311DA2" w:rsidRDefault="004746D0">
      <w:hyperlink r:id="rId9" w:history="1">
        <w:r w:rsidR="00311DA2">
          <w:rPr>
            <w:rStyle w:val="Hyperlink"/>
          </w:rPr>
          <w:t>https://cms.paypal.com/cms_content/U</w:t>
        </w:r>
        <w:r w:rsidR="00311DA2">
          <w:rPr>
            <w:rStyle w:val="Hyperlink"/>
          </w:rPr>
          <w:t>S/en_US/files/developer/PP_AdaptivePayments.pdf</w:t>
        </w:r>
      </w:hyperlink>
    </w:p>
    <w:p w:rsidR="00311DA2" w:rsidRDefault="00311DA2"/>
    <w:p w:rsidR="008E4796" w:rsidRDefault="00311DA2">
      <w:r>
        <w:t xml:space="preserve">Preapproval agreements are stored on </w:t>
      </w:r>
      <w:proofErr w:type="spellStart"/>
      <w:r>
        <w:t>Paypal</w:t>
      </w:r>
      <w:proofErr w:type="spellEnd"/>
      <w:r>
        <w:t xml:space="preserve">.  </w:t>
      </w:r>
      <w:proofErr w:type="spellStart"/>
      <w:r>
        <w:t>Paypal</w:t>
      </w:r>
      <w:proofErr w:type="spellEnd"/>
      <w:r>
        <w:t xml:space="preserve"> has a URL for initiating a preapproval agreement.  The approver indicates agreement start and end dates, the maximum </w:t>
      </w:r>
      <w:r w:rsidR="002541D4">
        <w:t>amount</w:t>
      </w:r>
      <w:r>
        <w:t xml:space="preserve"> and the </w:t>
      </w:r>
      <w:r w:rsidR="002541D4">
        <w:t xml:space="preserve">maximum </w:t>
      </w:r>
      <w:r>
        <w:t xml:space="preserve">number of </w:t>
      </w:r>
      <w:r w:rsidR="002541D4">
        <w:t>payments</w:t>
      </w:r>
      <w:r>
        <w:t xml:space="preserve">. </w:t>
      </w:r>
      <w:r w:rsidR="002541D4">
        <w:t xml:space="preserve"> </w:t>
      </w:r>
      <w:proofErr w:type="spellStart"/>
      <w:r>
        <w:t>Paypal</w:t>
      </w:r>
      <w:proofErr w:type="spellEnd"/>
      <w:r>
        <w:t xml:space="preserve"> provides a token referencing the agreement which is then used by our server to initiate </w:t>
      </w:r>
      <w:r w:rsidR="002541D4">
        <w:t>payments on behalf of the payer.</w:t>
      </w:r>
      <w:r>
        <w:t xml:space="preserve">  </w:t>
      </w:r>
    </w:p>
    <w:p w:rsidR="00311DA2" w:rsidRDefault="00311DA2"/>
    <w:p w:rsidR="00311DA2" w:rsidRDefault="00311DA2">
      <w:r>
        <w:t>There is also a URL for cancelling a preapproval agreement.</w:t>
      </w:r>
    </w:p>
    <w:p w:rsidR="00FD03C4" w:rsidRDefault="00FD03C4" w:rsidP="00173652">
      <w:pPr>
        <w:pStyle w:val="Heading2"/>
      </w:pPr>
      <w:r>
        <w:t xml:space="preserve">Using </w:t>
      </w:r>
      <w:r w:rsidR="00853065">
        <w:t>PayPal Pre</w:t>
      </w:r>
      <w:r>
        <w:t>-approval agreements in CDS</w:t>
      </w:r>
    </w:p>
    <w:p w:rsidR="00FD03C4" w:rsidRDefault="00FD03C4"/>
    <w:p w:rsidR="00173652" w:rsidRDefault="00173652" w:rsidP="004C66E3">
      <w:pPr>
        <w:pStyle w:val="ListParagraph"/>
        <w:numPr>
          <w:ilvl w:val="0"/>
          <w:numId w:val="3"/>
        </w:numPr>
      </w:pPr>
      <w:r>
        <w:t xml:space="preserve">All parties involved in </w:t>
      </w:r>
      <w:proofErr w:type="spellStart"/>
      <w:r>
        <w:t>Paypal</w:t>
      </w:r>
      <w:proofErr w:type="spellEnd"/>
      <w:r>
        <w:t xml:space="preserve"> payments would need </w:t>
      </w:r>
      <w:proofErr w:type="spellStart"/>
      <w:r>
        <w:t>paypal</w:t>
      </w:r>
      <w:proofErr w:type="spellEnd"/>
      <w:r>
        <w:t xml:space="preserve"> accounts.  Depending on the typical payment amounts the account</w:t>
      </w:r>
      <w:r w:rsidR="004C66E3">
        <w:t>s</w:t>
      </w:r>
      <w:r>
        <w:t xml:space="preserve"> would be established at either the micropayment rate or the regular rate.</w:t>
      </w:r>
    </w:p>
    <w:p w:rsidR="00FD03C4" w:rsidRDefault="00FD03C4" w:rsidP="00173652">
      <w:pPr>
        <w:pStyle w:val="ListParagraph"/>
        <w:numPr>
          <w:ilvl w:val="0"/>
          <w:numId w:val="3"/>
        </w:numPr>
      </w:pPr>
      <w:r>
        <w:t>Our ser</w:t>
      </w:r>
      <w:r w:rsidR="00173652">
        <w:t xml:space="preserve">vers would need a front end to </w:t>
      </w:r>
      <w:r w:rsidR="004C66E3">
        <w:t>support the establishment of pre-payment agreements by redirecting</w:t>
      </w:r>
      <w:r w:rsidR="00173652">
        <w:t xml:space="preserve"> to the </w:t>
      </w:r>
      <w:proofErr w:type="spellStart"/>
      <w:r w:rsidR="00173652">
        <w:t>Paypal</w:t>
      </w:r>
      <w:proofErr w:type="spellEnd"/>
      <w:r w:rsidR="00173652">
        <w:t xml:space="preserve"> API server </w:t>
      </w:r>
      <w:r w:rsidR="004C66E3">
        <w:t>and then accepting the pre-approval agreement token.</w:t>
      </w:r>
    </w:p>
    <w:p w:rsidR="00173652" w:rsidRDefault="00173652" w:rsidP="00173652">
      <w:pPr>
        <w:pStyle w:val="ListParagraph"/>
        <w:numPr>
          <w:ilvl w:val="0"/>
          <w:numId w:val="3"/>
        </w:numPr>
      </w:pPr>
      <w:r>
        <w:t xml:space="preserve">We would need to be able to store pre-approval agreement tokens and communicate these to the </w:t>
      </w:r>
      <w:proofErr w:type="spellStart"/>
      <w:r>
        <w:t>Paypal</w:t>
      </w:r>
      <w:proofErr w:type="spellEnd"/>
      <w:r>
        <w:t xml:space="preserve"> API server for payment.</w:t>
      </w:r>
    </w:p>
    <w:p w:rsidR="00173652" w:rsidRDefault="00173652" w:rsidP="00173652">
      <w:pPr>
        <w:pStyle w:val="ListParagraph"/>
        <w:numPr>
          <w:ilvl w:val="0"/>
          <w:numId w:val="3"/>
        </w:numPr>
      </w:pPr>
      <w:r>
        <w:t xml:space="preserve">If we also provide for out-of-band invoicing for some vendor relationships then the ‘transaction management service’ must </w:t>
      </w:r>
      <w:r w:rsidR="004C66E3">
        <w:t>behave differently depending whether the</w:t>
      </w:r>
      <w:r>
        <w:t xml:space="preserve"> </w:t>
      </w:r>
      <w:r w:rsidR="004C66E3">
        <w:t xml:space="preserve">financial exchange is supported by an external agreement or by </w:t>
      </w:r>
      <w:proofErr w:type="spellStart"/>
      <w:r w:rsidR="004C66E3">
        <w:t>Paypal</w:t>
      </w:r>
      <w:proofErr w:type="spellEnd"/>
      <w:r w:rsidR="004C66E3">
        <w:t>.</w:t>
      </w:r>
    </w:p>
    <w:p w:rsidR="00173652" w:rsidRDefault="00173652" w:rsidP="00173652">
      <w:pPr>
        <w:pStyle w:val="ListParagraph"/>
        <w:numPr>
          <w:ilvl w:val="0"/>
          <w:numId w:val="3"/>
        </w:numPr>
      </w:pPr>
      <w:r>
        <w:t xml:space="preserve">We </w:t>
      </w:r>
      <w:r w:rsidR="004C66E3">
        <w:t>need</w:t>
      </w:r>
      <w:r>
        <w:t xml:space="preserve"> a form of messaging to handle various fault situations.</w:t>
      </w:r>
    </w:p>
    <w:p w:rsidR="00173652" w:rsidRDefault="00173652"/>
    <w:p w:rsidR="00694B83" w:rsidRPr="00694B83" w:rsidRDefault="00173652" w:rsidP="00694B83">
      <w:r w:rsidRPr="00853065">
        <w:rPr>
          <w:b/>
        </w:rPr>
        <w:t>Another use case:</w:t>
      </w:r>
      <w:r>
        <w:t xml:space="preserve"> We may also want a browser front-end that enables payment without the need to establish a pre-approval agreement.</w:t>
      </w:r>
      <w:r w:rsidR="004C66E3">
        <w:t xml:space="preserve">  For example, </w:t>
      </w:r>
      <w:r w:rsidR="00853065">
        <w:t>an</w:t>
      </w:r>
      <w:r w:rsidR="004C66E3">
        <w:t xml:space="preserve"> exchange between two parties that only interact occasionally – </w:t>
      </w:r>
      <w:proofErr w:type="spellStart"/>
      <w:r w:rsidR="004C66E3">
        <w:t>ie</w:t>
      </w:r>
      <w:proofErr w:type="spellEnd"/>
      <w:r w:rsidR="004C66E3">
        <w:t xml:space="preserve"> the frequency doesn’t warrant either a vendor agreement or a </w:t>
      </w:r>
      <w:proofErr w:type="spellStart"/>
      <w:r w:rsidR="004C66E3">
        <w:t>Paypal</w:t>
      </w:r>
      <w:proofErr w:type="spellEnd"/>
      <w:r w:rsidR="004C66E3">
        <w:t xml:space="preserve"> pre-approval arrangement.</w:t>
      </w:r>
    </w:p>
    <w:sectPr w:rsidR="00694B83" w:rsidRPr="00694B83" w:rsidSect="00682091">
      <w:headerReference w:type="default" r:id="rId10"/>
      <w:footerReference w:type="default" r:id="rId11"/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DD0" w:rsidRDefault="000D2DD0" w:rsidP="00853065">
      <w:r>
        <w:separator/>
      </w:r>
    </w:p>
  </w:endnote>
  <w:endnote w:type="continuationSeparator" w:id="0">
    <w:p w:rsidR="000D2DD0" w:rsidRDefault="000D2DD0" w:rsidP="00853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065" w:rsidRDefault="00853065">
    <w:pPr>
      <w:pStyle w:val="Footer"/>
    </w:pPr>
    <w:r>
      <w:tab/>
    </w:r>
    <w:fldSimple w:instr=" PAGE  \* Arabic  \* MERGEFORMAT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DD0" w:rsidRDefault="000D2DD0" w:rsidP="00853065">
      <w:r>
        <w:separator/>
      </w:r>
    </w:p>
  </w:footnote>
  <w:footnote w:type="continuationSeparator" w:id="0">
    <w:p w:rsidR="000D2DD0" w:rsidRDefault="000D2DD0" w:rsidP="00853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065" w:rsidRPr="00853065" w:rsidRDefault="00853065" w:rsidP="00853065">
    <w:pPr>
      <w:pBdr>
        <w:bottom w:val="single" w:sz="4" w:space="1" w:color="auto"/>
      </w:pBdr>
      <w:rPr>
        <w:rStyle w:val="SubtleEmphasis"/>
        <w:b/>
        <w:i w:val="0"/>
        <w:color w:val="000000" w:themeColor="text1"/>
        <w:sz w:val="24"/>
        <w:szCs w:val="24"/>
      </w:rPr>
    </w:pPr>
    <w:r w:rsidRPr="00853065">
      <w:rPr>
        <w:rStyle w:val="SubtleEmphasis"/>
        <w:b/>
        <w:i w:val="0"/>
        <w:color w:val="000000" w:themeColor="text1"/>
        <w:sz w:val="24"/>
        <w:szCs w:val="24"/>
      </w:rPr>
      <w:t>PESC Common Data Services Task Force</w:t>
    </w:r>
  </w:p>
  <w:p w:rsidR="00853065" w:rsidRDefault="00853065" w:rsidP="00853065">
    <w:pPr>
      <w:pStyle w:val="NoSpacing"/>
      <w:pBdr>
        <w:bottom w:val="single" w:sz="4" w:space="1" w:color="auto"/>
      </w:pBdr>
      <w:rPr>
        <w:b/>
        <w:sz w:val="24"/>
        <w:szCs w:val="24"/>
      </w:rPr>
    </w:pPr>
    <w:r w:rsidRPr="00853065">
      <w:rPr>
        <w:b/>
        <w:sz w:val="24"/>
        <w:szCs w:val="24"/>
      </w:rPr>
      <w:t xml:space="preserve">Using </w:t>
    </w:r>
    <w:proofErr w:type="spellStart"/>
    <w:r w:rsidRPr="00853065">
      <w:rPr>
        <w:b/>
        <w:sz w:val="24"/>
        <w:szCs w:val="24"/>
      </w:rPr>
      <w:t>Paypal</w:t>
    </w:r>
    <w:proofErr w:type="spellEnd"/>
    <w:r w:rsidRPr="00853065">
      <w:rPr>
        <w:b/>
        <w:sz w:val="24"/>
        <w:szCs w:val="24"/>
      </w:rPr>
      <w:t xml:space="preserve"> for CDS Micropayments</w:t>
    </w:r>
  </w:p>
  <w:p w:rsidR="00853065" w:rsidRPr="00853065" w:rsidRDefault="00853065" w:rsidP="00853065">
    <w:pPr>
      <w:pStyle w:val="NoSpacing"/>
      <w:pBdr>
        <w:bottom w:val="single" w:sz="4" w:space="1" w:color="auto"/>
      </w:pBdr>
      <w:rPr>
        <w:b/>
        <w:sz w:val="24"/>
        <w:szCs w:val="24"/>
      </w:rPr>
    </w:pPr>
    <w:r>
      <w:rPr>
        <w:b/>
        <w:sz w:val="24"/>
        <w:szCs w:val="24"/>
      </w:rPr>
      <w:t>Joseph Giroux – 1/18/2012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45C9"/>
    <w:multiLevelType w:val="hybridMultilevel"/>
    <w:tmpl w:val="BEF42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74D93"/>
    <w:multiLevelType w:val="hybridMultilevel"/>
    <w:tmpl w:val="698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638A4"/>
    <w:multiLevelType w:val="hybridMultilevel"/>
    <w:tmpl w:val="571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C421D"/>
    <w:rsid w:val="000D2DD0"/>
    <w:rsid w:val="00145EFF"/>
    <w:rsid w:val="00173652"/>
    <w:rsid w:val="001C421D"/>
    <w:rsid w:val="00243BB7"/>
    <w:rsid w:val="002541D4"/>
    <w:rsid w:val="003074F1"/>
    <w:rsid w:val="00311DA2"/>
    <w:rsid w:val="003E0441"/>
    <w:rsid w:val="004746D0"/>
    <w:rsid w:val="004C66E3"/>
    <w:rsid w:val="005E5224"/>
    <w:rsid w:val="00682091"/>
    <w:rsid w:val="00694B83"/>
    <w:rsid w:val="007B5E2E"/>
    <w:rsid w:val="00853065"/>
    <w:rsid w:val="008E4796"/>
    <w:rsid w:val="008F6735"/>
    <w:rsid w:val="0094346F"/>
    <w:rsid w:val="00A53337"/>
    <w:rsid w:val="00AB1E0E"/>
    <w:rsid w:val="00D65438"/>
    <w:rsid w:val="00DF02D4"/>
    <w:rsid w:val="00FD0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E"/>
  </w:style>
  <w:style w:type="paragraph" w:styleId="Heading1">
    <w:name w:val="heading 1"/>
    <w:basedOn w:val="Normal"/>
    <w:next w:val="Normal"/>
    <w:link w:val="Heading1Char"/>
    <w:uiPriority w:val="9"/>
    <w:qFormat/>
    <w:rsid w:val="006820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421D"/>
  </w:style>
  <w:style w:type="character" w:styleId="Emphasis">
    <w:name w:val="Emphasis"/>
    <w:basedOn w:val="DefaultParagraphFont"/>
    <w:uiPriority w:val="20"/>
    <w:qFormat/>
    <w:rsid w:val="001C42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42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D03C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53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065"/>
  </w:style>
  <w:style w:type="paragraph" w:styleId="Footer">
    <w:name w:val="footer"/>
    <w:basedOn w:val="Normal"/>
    <w:link w:val="FooterChar"/>
    <w:uiPriority w:val="99"/>
    <w:semiHidden/>
    <w:unhideWhenUsed/>
    <w:rsid w:val="00853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065"/>
  </w:style>
  <w:style w:type="paragraph" w:styleId="NoSpacing">
    <w:name w:val="No Spacing"/>
    <w:uiPriority w:val="1"/>
    <w:qFormat/>
    <w:rsid w:val="00853065"/>
    <w:rPr>
      <w:rFonts w:eastAsiaTheme="minorEastAsia"/>
      <w:lang w:bidi="en-US"/>
    </w:rPr>
  </w:style>
  <w:style w:type="character" w:styleId="SubtleEmphasis">
    <w:name w:val="Subtle Emphasis"/>
    <w:basedOn w:val="DefaultParagraphFont"/>
    <w:uiPriority w:val="19"/>
    <w:qFormat/>
    <w:rsid w:val="0085306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x.com/developers/paypal/documentation-tools/quick-start-guides/adaptive-payments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ms.paypal.com/cms_content/US/en_US/files/developer/PP_AdaptivePayme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5</cp:revision>
  <dcterms:created xsi:type="dcterms:W3CDTF">2012-01-09T18:56:00Z</dcterms:created>
  <dcterms:modified xsi:type="dcterms:W3CDTF">2012-01-18T19:51:00Z</dcterms:modified>
</cp:coreProperties>
</file>