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FE83D5" w14:textId="77777777" w:rsidR="009C7B6C" w:rsidRPr="002E736F" w:rsidRDefault="002E736F" w:rsidP="002E736F">
      <w:pPr>
        <w:spacing w:after="0"/>
        <w:rPr>
          <w:b/>
        </w:rPr>
      </w:pPr>
      <w:r w:rsidRPr="002E736F">
        <w:rPr>
          <w:b/>
        </w:rPr>
        <w:t>Use Cases:</w:t>
      </w:r>
    </w:p>
    <w:p w14:paraId="2F1442AB" w14:textId="77777777" w:rsidR="009C7B6C" w:rsidRDefault="002E736F">
      <w:r>
        <w:t>Descriptions of specific interactions users may have with the software while completing the tasks listed above. Uses cases detail the external behavior of the software.</w:t>
      </w:r>
      <w:r w:rsidR="00E45A44">
        <w:t xml:space="preserve"> Insert additional use case tables as needed.</w:t>
      </w:r>
    </w:p>
    <w:tbl>
      <w:tblPr>
        <w:tblStyle w:val="TableGrid"/>
        <w:tblW w:w="0" w:type="auto"/>
        <w:tblInd w:w="108" w:type="dxa"/>
        <w:tblLook w:val="04A0" w:firstRow="1" w:lastRow="0" w:firstColumn="1" w:lastColumn="0" w:noHBand="0" w:noVBand="1"/>
      </w:tblPr>
      <w:tblGrid>
        <w:gridCol w:w="1548"/>
        <w:gridCol w:w="7812"/>
      </w:tblGrid>
      <w:tr w:rsidR="009C7B6C" w14:paraId="671FF38C" w14:textId="77777777" w:rsidTr="00F23377">
        <w:tc>
          <w:tcPr>
            <w:tcW w:w="1548" w:type="dxa"/>
            <w:shd w:val="clear" w:color="auto" w:fill="548DD4" w:themeFill="text2" w:themeFillTint="99"/>
          </w:tcPr>
          <w:p w14:paraId="374E6E1E" w14:textId="77777777" w:rsidR="009C7B6C" w:rsidRPr="00CC06BC" w:rsidRDefault="009C7B6C" w:rsidP="00E056C9">
            <w:pPr>
              <w:rPr>
                <w:b/>
                <w:color w:val="FFFFFF" w:themeColor="background1"/>
                <w:sz w:val="20"/>
                <w:szCs w:val="20"/>
              </w:rPr>
            </w:pPr>
            <w:r w:rsidRPr="00CC06BC">
              <w:rPr>
                <w:b/>
                <w:color w:val="FFFFFF" w:themeColor="background1"/>
                <w:sz w:val="20"/>
                <w:szCs w:val="20"/>
              </w:rPr>
              <w:t>Name</w:t>
            </w:r>
          </w:p>
        </w:tc>
        <w:tc>
          <w:tcPr>
            <w:tcW w:w="7812" w:type="dxa"/>
            <w:shd w:val="clear" w:color="auto" w:fill="548DD4" w:themeFill="text2" w:themeFillTint="99"/>
          </w:tcPr>
          <w:p w14:paraId="56E34020" w14:textId="77777777" w:rsidR="009C7B6C" w:rsidRPr="00CC06BC" w:rsidRDefault="009C7B6C" w:rsidP="00E056C9">
            <w:pPr>
              <w:rPr>
                <w:b/>
                <w:color w:val="FFFFFF" w:themeColor="background1"/>
                <w:sz w:val="20"/>
                <w:szCs w:val="20"/>
              </w:rPr>
            </w:pPr>
            <w:r>
              <w:rPr>
                <w:b/>
                <w:color w:val="FFFFFF" w:themeColor="background1"/>
                <w:sz w:val="20"/>
                <w:szCs w:val="20"/>
              </w:rPr>
              <w:t>UC-1</w:t>
            </w:r>
            <w:r w:rsidR="00D438C6">
              <w:rPr>
                <w:b/>
                <w:color w:val="FFFFFF" w:themeColor="background1"/>
                <w:sz w:val="20"/>
                <w:szCs w:val="20"/>
              </w:rPr>
              <w:t>: Transcript Exchange (Between Vendor-based Service Providers)</w:t>
            </w:r>
          </w:p>
        </w:tc>
      </w:tr>
      <w:tr w:rsidR="009C7B6C" w14:paraId="6631950B" w14:textId="77777777" w:rsidTr="00F23377">
        <w:tc>
          <w:tcPr>
            <w:tcW w:w="1548" w:type="dxa"/>
          </w:tcPr>
          <w:p w14:paraId="4FCF3F97" w14:textId="77777777" w:rsidR="009C7B6C" w:rsidRPr="00CC06BC" w:rsidRDefault="009C7B6C" w:rsidP="00E056C9">
            <w:pPr>
              <w:rPr>
                <w:sz w:val="20"/>
                <w:szCs w:val="20"/>
              </w:rPr>
            </w:pPr>
            <w:r w:rsidRPr="00CC06BC">
              <w:rPr>
                <w:sz w:val="20"/>
                <w:szCs w:val="20"/>
              </w:rPr>
              <w:t>Summary</w:t>
            </w:r>
          </w:p>
        </w:tc>
        <w:tc>
          <w:tcPr>
            <w:tcW w:w="7812" w:type="dxa"/>
          </w:tcPr>
          <w:p w14:paraId="5CC755C0" w14:textId="36DA6E50" w:rsidR="009C7B6C" w:rsidRPr="00CC06BC" w:rsidRDefault="00E056C9" w:rsidP="00E056C9">
            <w:pPr>
              <w:rPr>
                <w:sz w:val="20"/>
                <w:szCs w:val="20"/>
              </w:rPr>
            </w:pPr>
            <w:r>
              <w:rPr>
                <w:rFonts w:ascii="Calibri" w:eastAsia="Times New Roman" w:hAnsi="Calibri" w:cs="Times New Roman"/>
                <w:color w:val="000000"/>
                <w:sz w:val="20"/>
                <w:szCs w:val="20"/>
              </w:rPr>
              <w:t>This use case describes the movement of official academic transcripts between multiple vendors of transcript exchange networks.  Each vendor in this use case may represent one or more sending individuals or institution, as well as one or more recipient individuals or institutions.  The content of the official transcript is arbitrary, and not relevant to the processing of the requests, responses and payload of the transactions.</w:t>
            </w:r>
          </w:p>
        </w:tc>
      </w:tr>
      <w:tr w:rsidR="009C7B6C" w14:paraId="1160B6B7" w14:textId="77777777" w:rsidTr="00F23377">
        <w:tc>
          <w:tcPr>
            <w:tcW w:w="1548" w:type="dxa"/>
          </w:tcPr>
          <w:p w14:paraId="172FAF39" w14:textId="77777777" w:rsidR="009C7B6C" w:rsidRPr="00CC06BC" w:rsidRDefault="009C7B6C" w:rsidP="00E056C9">
            <w:pPr>
              <w:rPr>
                <w:sz w:val="20"/>
                <w:szCs w:val="20"/>
              </w:rPr>
            </w:pPr>
            <w:r w:rsidRPr="00CC06BC">
              <w:rPr>
                <w:sz w:val="20"/>
                <w:szCs w:val="20"/>
              </w:rPr>
              <w:t>Rationale</w:t>
            </w:r>
          </w:p>
        </w:tc>
        <w:tc>
          <w:tcPr>
            <w:tcW w:w="7812" w:type="dxa"/>
          </w:tcPr>
          <w:p w14:paraId="1B61EA96" w14:textId="5BA3335C" w:rsidR="009C7B6C" w:rsidRDefault="007505BC" w:rsidP="00E056C9">
            <w:pPr>
              <w:rPr>
                <w:sz w:val="20"/>
                <w:szCs w:val="20"/>
              </w:rPr>
            </w:pPr>
            <w:r>
              <w:rPr>
                <w:sz w:val="20"/>
                <w:szCs w:val="20"/>
              </w:rPr>
              <w:t>Automated transcript exchange between service providers acting on behalf of multiple senders and recipients will make up the bulk of transactions for these PESC file formats.</w:t>
            </w:r>
          </w:p>
          <w:p w14:paraId="16713DE8" w14:textId="77777777" w:rsidR="00D66CB7" w:rsidRPr="00CC06BC" w:rsidRDefault="00D66CB7" w:rsidP="00E056C9">
            <w:pPr>
              <w:rPr>
                <w:sz w:val="20"/>
                <w:szCs w:val="20"/>
              </w:rPr>
            </w:pPr>
          </w:p>
        </w:tc>
      </w:tr>
      <w:tr w:rsidR="009C7B6C" w14:paraId="08E5BACE" w14:textId="77777777" w:rsidTr="00F23377">
        <w:tc>
          <w:tcPr>
            <w:tcW w:w="1548" w:type="dxa"/>
          </w:tcPr>
          <w:p w14:paraId="464E3E42" w14:textId="77777777" w:rsidR="009C7B6C" w:rsidRPr="00CC06BC" w:rsidRDefault="009C7B6C" w:rsidP="00E056C9">
            <w:pPr>
              <w:rPr>
                <w:sz w:val="20"/>
                <w:szCs w:val="20"/>
              </w:rPr>
            </w:pPr>
            <w:r w:rsidRPr="00CC06BC">
              <w:rPr>
                <w:sz w:val="20"/>
                <w:szCs w:val="20"/>
              </w:rPr>
              <w:t>Users</w:t>
            </w:r>
          </w:p>
        </w:tc>
        <w:tc>
          <w:tcPr>
            <w:tcW w:w="7812" w:type="dxa"/>
          </w:tcPr>
          <w:p w14:paraId="42B73129" w14:textId="0905F339" w:rsidR="009C7B6C" w:rsidRPr="00CC06BC" w:rsidRDefault="00E056C9" w:rsidP="00E056C9">
            <w:pPr>
              <w:rPr>
                <w:sz w:val="20"/>
                <w:szCs w:val="20"/>
              </w:rPr>
            </w:pPr>
            <w:r>
              <w:rPr>
                <w:rFonts w:ascii="Calibri" w:eastAsia="Times New Roman" w:hAnsi="Calibri" w:cs="Times New Roman"/>
                <w:color w:val="000000"/>
                <w:sz w:val="20"/>
                <w:szCs w:val="20"/>
              </w:rPr>
              <w:t>Student, Registrar, College Admissions</w:t>
            </w:r>
          </w:p>
        </w:tc>
      </w:tr>
      <w:tr w:rsidR="009C7B6C" w14:paraId="746D05A8" w14:textId="77777777" w:rsidTr="00F23377">
        <w:tc>
          <w:tcPr>
            <w:tcW w:w="1548" w:type="dxa"/>
          </w:tcPr>
          <w:p w14:paraId="703C1A32" w14:textId="77777777" w:rsidR="009C7B6C" w:rsidRPr="00CC06BC" w:rsidRDefault="009C7B6C" w:rsidP="00E056C9">
            <w:pPr>
              <w:rPr>
                <w:sz w:val="20"/>
                <w:szCs w:val="20"/>
              </w:rPr>
            </w:pPr>
            <w:r w:rsidRPr="00CC06BC">
              <w:rPr>
                <w:sz w:val="20"/>
                <w:szCs w:val="20"/>
              </w:rPr>
              <w:t>Preconditions</w:t>
            </w:r>
          </w:p>
        </w:tc>
        <w:tc>
          <w:tcPr>
            <w:tcW w:w="7812" w:type="dxa"/>
          </w:tcPr>
          <w:p w14:paraId="4CC5D431" w14:textId="4A94490F" w:rsidR="009C7B6C" w:rsidRPr="00E056C9" w:rsidRDefault="00E056C9" w:rsidP="00E056C9">
            <w:pPr>
              <w:pStyle w:val="ListParagraph"/>
              <w:numPr>
                <w:ilvl w:val="0"/>
                <w:numId w:val="7"/>
              </w:numPr>
              <w:rPr>
                <w:rFonts w:ascii="Calibri" w:eastAsia="Times New Roman" w:hAnsi="Calibri" w:cs="Times New Roman"/>
                <w:color w:val="000000"/>
                <w:sz w:val="20"/>
                <w:szCs w:val="20"/>
              </w:rPr>
            </w:pPr>
            <w:r w:rsidRPr="00E056C9">
              <w:rPr>
                <w:rFonts w:ascii="Calibri" w:eastAsia="Times New Roman" w:hAnsi="Calibri" w:cs="Times New Roman"/>
                <w:color w:val="000000"/>
                <w:sz w:val="20"/>
                <w:szCs w:val="20"/>
              </w:rPr>
              <w:t>Sending service provider has the ability to format an official academic transcript in a supported PESC format.</w:t>
            </w:r>
          </w:p>
          <w:p w14:paraId="379E2F95" w14:textId="7345E65B" w:rsidR="00E056C9" w:rsidRPr="00E056C9" w:rsidRDefault="00E056C9" w:rsidP="00E056C9">
            <w:pPr>
              <w:pStyle w:val="ListParagraph"/>
              <w:numPr>
                <w:ilvl w:val="0"/>
                <w:numId w:val="7"/>
              </w:numPr>
              <w:rPr>
                <w:rFonts w:ascii="Calibri" w:eastAsia="Times New Roman" w:hAnsi="Calibri" w:cs="Times New Roman"/>
                <w:color w:val="000000"/>
                <w:sz w:val="20"/>
                <w:szCs w:val="20"/>
              </w:rPr>
            </w:pPr>
            <w:r>
              <w:rPr>
                <w:rFonts w:ascii="Calibri" w:eastAsia="Times New Roman" w:hAnsi="Calibri" w:cs="Times New Roman"/>
                <w:color w:val="000000"/>
                <w:sz w:val="20"/>
                <w:szCs w:val="20"/>
              </w:rPr>
              <w:t>Student ha</w:t>
            </w:r>
            <w:r w:rsidR="007505BC">
              <w:rPr>
                <w:rFonts w:ascii="Calibri" w:eastAsia="Times New Roman" w:hAnsi="Calibri" w:cs="Times New Roman"/>
                <w:color w:val="000000"/>
                <w:sz w:val="20"/>
                <w:szCs w:val="20"/>
              </w:rPr>
              <w:t>s initiated a FERPA compliant request that a transcript be sent to one or more destinations though the sending service provider’s system</w:t>
            </w:r>
          </w:p>
          <w:p w14:paraId="5C6A4885" w14:textId="77777777" w:rsidR="009C7B6C" w:rsidRPr="00CC06BC" w:rsidRDefault="009C7B6C" w:rsidP="00E056C9">
            <w:pPr>
              <w:rPr>
                <w:sz w:val="20"/>
                <w:szCs w:val="20"/>
              </w:rPr>
            </w:pPr>
          </w:p>
        </w:tc>
      </w:tr>
      <w:tr w:rsidR="009C7B6C" w14:paraId="3251EDB7" w14:textId="77777777" w:rsidTr="00F23377">
        <w:tc>
          <w:tcPr>
            <w:tcW w:w="1548" w:type="dxa"/>
          </w:tcPr>
          <w:p w14:paraId="157EFB17" w14:textId="77777777" w:rsidR="009C7B6C" w:rsidRPr="00CC06BC" w:rsidRDefault="009C7B6C" w:rsidP="00E056C9">
            <w:pPr>
              <w:rPr>
                <w:sz w:val="20"/>
                <w:szCs w:val="20"/>
              </w:rPr>
            </w:pPr>
            <w:r w:rsidRPr="00CC06BC">
              <w:rPr>
                <w:sz w:val="20"/>
                <w:szCs w:val="20"/>
              </w:rPr>
              <w:t>Basic Course of Events</w:t>
            </w:r>
          </w:p>
        </w:tc>
        <w:tc>
          <w:tcPr>
            <w:tcW w:w="7812" w:type="dxa"/>
          </w:tcPr>
          <w:p w14:paraId="43735AFA" w14:textId="77777777" w:rsidR="009C7B6C" w:rsidRDefault="009C7B6C" w:rsidP="00E056C9">
            <w:pPr>
              <w:rPr>
                <w:sz w:val="20"/>
                <w:szCs w:val="20"/>
              </w:rPr>
            </w:pPr>
            <w:r>
              <w:rPr>
                <w:sz w:val="20"/>
                <w:szCs w:val="20"/>
              </w:rPr>
              <w:t>A numbered list of interactions between the system and one or more users</w:t>
            </w:r>
          </w:p>
          <w:p w14:paraId="3B75F672" w14:textId="2E252127" w:rsidR="009C7B6C" w:rsidRDefault="007505BC" w:rsidP="00E056C9">
            <w:pPr>
              <w:pStyle w:val="ListParagraph"/>
              <w:numPr>
                <w:ilvl w:val="0"/>
                <w:numId w:val="1"/>
              </w:numPr>
              <w:rPr>
                <w:sz w:val="20"/>
                <w:szCs w:val="20"/>
              </w:rPr>
            </w:pPr>
            <w:r>
              <w:rPr>
                <w:sz w:val="20"/>
                <w:szCs w:val="20"/>
              </w:rPr>
              <w:t>The student accesses the sending service provider’s portal and initiates a request to send an official transcript to one or more destinations.</w:t>
            </w:r>
          </w:p>
          <w:p w14:paraId="377C5426" w14:textId="5DEC7B7D" w:rsidR="009C7B6C" w:rsidRDefault="007505BC" w:rsidP="00E056C9">
            <w:pPr>
              <w:pStyle w:val="ListParagraph"/>
              <w:numPr>
                <w:ilvl w:val="0"/>
                <w:numId w:val="1"/>
              </w:numPr>
              <w:rPr>
                <w:sz w:val="20"/>
                <w:szCs w:val="20"/>
              </w:rPr>
            </w:pPr>
            <w:r>
              <w:rPr>
                <w:sz w:val="20"/>
                <w:szCs w:val="20"/>
              </w:rPr>
              <w:t>The service provider presents a listing of destinations, with costs and estimated time to delivery for each.</w:t>
            </w:r>
          </w:p>
          <w:p w14:paraId="37B4FC63" w14:textId="4EA55054" w:rsidR="009C7B6C" w:rsidRDefault="007505BC" w:rsidP="00E056C9">
            <w:pPr>
              <w:pStyle w:val="ListParagraph"/>
              <w:numPr>
                <w:ilvl w:val="0"/>
                <w:numId w:val="1"/>
              </w:numPr>
              <w:rPr>
                <w:sz w:val="20"/>
                <w:szCs w:val="20"/>
              </w:rPr>
            </w:pPr>
            <w:r>
              <w:rPr>
                <w:sz w:val="20"/>
                <w:szCs w:val="20"/>
              </w:rPr>
              <w:t>The student approves the request to send transcripts after confirming the method and cost of delivery for one or more destinations.</w:t>
            </w:r>
          </w:p>
          <w:p w14:paraId="35433FDA" w14:textId="37077411" w:rsidR="009C7B6C" w:rsidRDefault="007505BC" w:rsidP="00E056C9">
            <w:pPr>
              <w:pStyle w:val="ListParagraph"/>
              <w:numPr>
                <w:ilvl w:val="0"/>
                <w:numId w:val="1"/>
              </w:numPr>
              <w:rPr>
                <w:sz w:val="20"/>
                <w:szCs w:val="20"/>
              </w:rPr>
            </w:pPr>
            <w:r>
              <w:rPr>
                <w:sz w:val="20"/>
                <w:szCs w:val="20"/>
              </w:rPr>
              <w:t>The service provider system determines the correct service destination, file format and protocol of transmission for each destination and processes the delivery of the transcript electronically.</w:t>
            </w:r>
          </w:p>
          <w:p w14:paraId="34DBB612" w14:textId="4C15D789" w:rsidR="00852BFD" w:rsidRDefault="00852BFD" w:rsidP="00E056C9">
            <w:pPr>
              <w:pStyle w:val="ListParagraph"/>
              <w:numPr>
                <w:ilvl w:val="0"/>
                <w:numId w:val="1"/>
              </w:numPr>
              <w:rPr>
                <w:sz w:val="20"/>
                <w:szCs w:val="20"/>
              </w:rPr>
            </w:pPr>
            <w:r>
              <w:rPr>
                <w:sz w:val="20"/>
                <w:szCs w:val="20"/>
              </w:rPr>
              <w:t>For each transcript transaction, the sending service provider opens a connection to the correct recipient service provider and delivers the transactions for only those destinations supported by that service provider’s network and that honor the student’s preferences for costs and time to delivery.</w:t>
            </w:r>
          </w:p>
          <w:p w14:paraId="219D83CA" w14:textId="494D484E" w:rsidR="007505BC" w:rsidRDefault="00852BFD" w:rsidP="00E056C9">
            <w:pPr>
              <w:pStyle w:val="ListParagraph"/>
              <w:numPr>
                <w:ilvl w:val="0"/>
                <w:numId w:val="1"/>
              </w:numPr>
              <w:rPr>
                <w:sz w:val="20"/>
                <w:szCs w:val="20"/>
              </w:rPr>
            </w:pPr>
            <w:r>
              <w:rPr>
                <w:sz w:val="20"/>
                <w:szCs w:val="20"/>
              </w:rPr>
              <w:t>The service provider will provide tracking information and confirmation of transcript delivery for each electronic destination.</w:t>
            </w:r>
          </w:p>
          <w:p w14:paraId="6FF55886" w14:textId="77777777" w:rsidR="009C7B6C" w:rsidRPr="00CC06BC" w:rsidRDefault="009C7B6C" w:rsidP="00E056C9">
            <w:pPr>
              <w:rPr>
                <w:sz w:val="20"/>
                <w:szCs w:val="20"/>
              </w:rPr>
            </w:pPr>
          </w:p>
        </w:tc>
      </w:tr>
      <w:tr w:rsidR="009C7B6C" w14:paraId="7140BA16" w14:textId="77777777" w:rsidTr="00F23377">
        <w:tc>
          <w:tcPr>
            <w:tcW w:w="1548" w:type="dxa"/>
          </w:tcPr>
          <w:p w14:paraId="0C1941A7" w14:textId="32D5A18B" w:rsidR="009C7B6C" w:rsidRPr="00CC06BC" w:rsidRDefault="009C7B6C" w:rsidP="00E056C9">
            <w:pPr>
              <w:rPr>
                <w:sz w:val="20"/>
                <w:szCs w:val="20"/>
              </w:rPr>
            </w:pPr>
            <w:r w:rsidRPr="00CC06BC">
              <w:rPr>
                <w:sz w:val="20"/>
                <w:szCs w:val="20"/>
              </w:rPr>
              <w:t>Alternative Paths</w:t>
            </w:r>
          </w:p>
        </w:tc>
        <w:tc>
          <w:tcPr>
            <w:tcW w:w="7812" w:type="dxa"/>
          </w:tcPr>
          <w:p w14:paraId="3FF851AD" w14:textId="77777777" w:rsidR="009C7B6C" w:rsidRDefault="009C7B6C" w:rsidP="00E056C9">
            <w:pPr>
              <w:rPr>
                <w:sz w:val="20"/>
                <w:szCs w:val="20"/>
              </w:rPr>
            </w:pPr>
            <w:r>
              <w:rPr>
                <w:sz w:val="20"/>
                <w:szCs w:val="20"/>
              </w:rPr>
              <w:t>Conditions under which the basic course of events (above) could change</w:t>
            </w:r>
          </w:p>
          <w:p w14:paraId="3462218E" w14:textId="4C002CCE" w:rsidR="009C7B6C" w:rsidRDefault="009C7B6C" w:rsidP="00E056C9">
            <w:pPr>
              <w:pStyle w:val="ListParagraph"/>
              <w:numPr>
                <w:ilvl w:val="0"/>
                <w:numId w:val="2"/>
              </w:numPr>
              <w:rPr>
                <w:sz w:val="20"/>
                <w:szCs w:val="20"/>
              </w:rPr>
            </w:pPr>
            <w:r>
              <w:rPr>
                <w:sz w:val="20"/>
                <w:szCs w:val="20"/>
              </w:rPr>
              <w:t>If</w:t>
            </w:r>
            <w:r w:rsidR="007505BC">
              <w:rPr>
                <w:sz w:val="20"/>
                <w:szCs w:val="20"/>
              </w:rPr>
              <w:t xml:space="preserve"> no electronic delivery destinations are found for a given recipient, the service provider will handle the processing of</w:t>
            </w:r>
            <w:r w:rsidR="00516F8E">
              <w:rPr>
                <w:sz w:val="20"/>
                <w:szCs w:val="20"/>
              </w:rPr>
              <w:t xml:space="preserve"> the transaction offline</w:t>
            </w:r>
            <w:r w:rsidR="00516F8E">
              <w:rPr>
                <w:sz w:val="20"/>
                <w:szCs w:val="20"/>
              </w:rPr>
              <w:t>, or the provider will not allow for the initial request for delivery altogether (implies prior knowledge of electronically enabled destinations).</w:t>
            </w:r>
          </w:p>
          <w:p w14:paraId="33AE17E8" w14:textId="626040A9" w:rsidR="009C7B6C" w:rsidRDefault="007505BC" w:rsidP="00E056C9">
            <w:pPr>
              <w:pStyle w:val="ListParagraph"/>
              <w:numPr>
                <w:ilvl w:val="0"/>
                <w:numId w:val="2"/>
              </w:numPr>
              <w:rPr>
                <w:sz w:val="20"/>
                <w:szCs w:val="20"/>
              </w:rPr>
            </w:pPr>
            <w:r>
              <w:rPr>
                <w:sz w:val="20"/>
                <w:szCs w:val="20"/>
              </w:rPr>
              <w:t>If approval is required, per FERPA, prior to the release of the record, the service provider will handle the collection of any and all school official (registrar), parental, or other approvals.</w:t>
            </w:r>
          </w:p>
          <w:p w14:paraId="38D7F886" w14:textId="3356D064" w:rsidR="009C7B6C" w:rsidRDefault="007505BC" w:rsidP="00E056C9">
            <w:pPr>
              <w:pStyle w:val="ListParagraph"/>
              <w:numPr>
                <w:ilvl w:val="0"/>
                <w:numId w:val="2"/>
              </w:numPr>
              <w:rPr>
                <w:sz w:val="20"/>
                <w:szCs w:val="20"/>
              </w:rPr>
            </w:pPr>
            <w:r>
              <w:rPr>
                <w:sz w:val="20"/>
                <w:szCs w:val="20"/>
              </w:rPr>
              <w:t>If any errors occur during transmission of transcripts, the service provider will record the errors and handle responses to the connected systems gracefully.</w:t>
            </w:r>
          </w:p>
          <w:p w14:paraId="5065ECF8" w14:textId="77777777" w:rsidR="009C7B6C" w:rsidRPr="00CC06BC" w:rsidRDefault="009C7B6C" w:rsidP="00E056C9">
            <w:pPr>
              <w:rPr>
                <w:sz w:val="20"/>
                <w:szCs w:val="20"/>
              </w:rPr>
            </w:pPr>
          </w:p>
        </w:tc>
      </w:tr>
      <w:tr w:rsidR="009C7B6C" w14:paraId="7BC88B09" w14:textId="77777777" w:rsidTr="00F23377">
        <w:tc>
          <w:tcPr>
            <w:tcW w:w="1548" w:type="dxa"/>
          </w:tcPr>
          <w:p w14:paraId="5B2FCF95" w14:textId="77777777" w:rsidR="009C7B6C" w:rsidRPr="00CC06BC" w:rsidRDefault="009C7B6C" w:rsidP="00E056C9">
            <w:pPr>
              <w:rPr>
                <w:sz w:val="20"/>
                <w:szCs w:val="20"/>
              </w:rPr>
            </w:pPr>
            <w:proofErr w:type="spellStart"/>
            <w:r w:rsidRPr="00CC06BC">
              <w:rPr>
                <w:sz w:val="20"/>
                <w:szCs w:val="20"/>
              </w:rPr>
              <w:t>Postconditions</w:t>
            </w:r>
            <w:proofErr w:type="spellEnd"/>
          </w:p>
        </w:tc>
        <w:tc>
          <w:tcPr>
            <w:tcW w:w="7812" w:type="dxa"/>
          </w:tcPr>
          <w:p w14:paraId="543B6F0E" w14:textId="09C2B46C" w:rsidR="009C7B6C" w:rsidRDefault="00F65D12" w:rsidP="00E056C9">
            <w:pPr>
              <w:rPr>
                <w:rFonts w:ascii="Calibri" w:eastAsia="Times New Roman" w:hAnsi="Calibri" w:cs="Times New Roman"/>
                <w:color w:val="000000"/>
                <w:sz w:val="20"/>
                <w:szCs w:val="20"/>
              </w:rPr>
            </w:pPr>
            <w:r>
              <w:rPr>
                <w:rFonts w:ascii="Calibri" w:eastAsia="Times New Roman" w:hAnsi="Calibri" w:cs="Times New Roman"/>
                <w:color w:val="000000"/>
                <w:sz w:val="20"/>
                <w:szCs w:val="20"/>
              </w:rPr>
              <w:t>Electronic transcripts are confirmed as received by recipient institutions and all users involved in the transmission and approval of the records have tracking information and confirmation of receipt.</w:t>
            </w:r>
          </w:p>
          <w:p w14:paraId="07204375" w14:textId="77777777" w:rsidR="009C7B6C" w:rsidRPr="00CC06BC" w:rsidRDefault="009C7B6C" w:rsidP="00E056C9">
            <w:pPr>
              <w:rPr>
                <w:sz w:val="20"/>
                <w:szCs w:val="20"/>
              </w:rPr>
            </w:pPr>
          </w:p>
        </w:tc>
      </w:tr>
      <w:tr w:rsidR="009C7B6C" w14:paraId="7F33FD01" w14:textId="77777777" w:rsidTr="00F23377">
        <w:tc>
          <w:tcPr>
            <w:tcW w:w="1548" w:type="dxa"/>
          </w:tcPr>
          <w:p w14:paraId="578AC690" w14:textId="77777777" w:rsidR="009C7B6C" w:rsidRPr="00CC06BC" w:rsidRDefault="009C7B6C" w:rsidP="00E056C9">
            <w:pPr>
              <w:rPr>
                <w:sz w:val="20"/>
                <w:szCs w:val="20"/>
              </w:rPr>
            </w:pPr>
            <w:r w:rsidRPr="00CC06BC">
              <w:rPr>
                <w:sz w:val="20"/>
                <w:szCs w:val="20"/>
              </w:rPr>
              <w:lastRenderedPageBreak/>
              <w:t>Related Documentation</w:t>
            </w:r>
          </w:p>
        </w:tc>
        <w:tc>
          <w:tcPr>
            <w:tcW w:w="7812" w:type="dxa"/>
          </w:tcPr>
          <w:p w14:paraId="01F06A8B" w14:textId="589F027B" w:rsidR="009C7B6C" w:rsidRPr="00CC06BC" w:rsidRDefault="007505BC" w:rsidP="00E056C9">
            <w:pPr>
              <w:rPr>
                <w:sz w:val="20"/>
                <w:szCs w:val="20"/>
              </w:rPr>
            </w:pPr>
            <w:r>
              <w:rPr>
                <w:rFonts w:ascii="Calibri" w:eastAsia="Times New Roman" w:hAnsi="Calibri" w:cs="Times New Roman"/>
                <w:color w:val="000000"/>
                <w:sz w:val="20"/>
                <w:szCs w:val="20"/>
              </w:rPr>
              <w:t>Refer to transcript exchange workflow diagrams attached, provided by ConnectEDU.</w:t>
            </w:r>
          </w:p>
        </w:tc>
      </w:tr>
    </w:tbl>
    <w:p w14:paraId="087E1D82" w14:textId="77777777" w:rsidR="00D438C6" w:rsidRDefault="00D438C6" w:rsidP="00D438C6"/>
    <w:tbl>
      <w:tblPr>
        <w:tblStyle w:val="TableGrid"/>
        <w:tblW w:w="0" w:type="auto"/>
        <w:tblInd w:w="108" w:type="dxa"/>
        <w:tblLook w:val="04A0" w:firstRow="1" w:lastRow="0" w:firstColumn="1" w:lastColumn="0" w:noHBand="0" w:noVBand="1"/>
      </w:tblPr>
      <w:tblGrid>
        <w:gridCol w:w="1548"/>
        <w:gridCol w:w="7812"/>
      </w:tblGrid>
      <w:tr w:rsidR="00D438C6" w14:paraId="41331395" w14:textId="77777777" w:rsidTr="00E056C9">
        <w:tc>
          <w:tcPr>
            <w:tcW w:w="1548" w:type="dxa"/>
            <w:shd w:val="clear" w:color="auto" w:fill="548DD4" w:themeFill="text2" w:themeFillTint="99"/>
          </w:tcPr>
          <w:p w14:paraId="693EBE4B" w14:textId="77777777" w:rsidR="00D438C6" w:rsidRPr="00CC06BC" w:rsidRDefault="00D438C6" w:rsidP="00E056C9">
            <w:pPr>
              <w:rPr>
                <w:b/>
                <w:color w:val="FFFFFF" w:themeColor="background1"/>
                <w:sz w:val="20"/>
                <w:szCs w:val="20"/>
              </w:rPr>
            </w:pPr>
            <w:r w:rsidRPr="00CC06BC">
              <w:rPr>
                <w:b/>
                <w:color w:val="FFFFFF" w:themeColor="background1"/>
                <w:sz w:val="20"/>
                <w:szCs w:val="20"/>
              </w:rPr>
              <w:t>Name</w:t>
            </w:r>
          </w:p>
        </w:tc>
        <w:tc>
          <w:tcPr>
            <w:tcW w:w="7812" w:type="dxa"/>
            <w:shd w:val="clear" w:color="auto" w:fill="548DD4" w:themeFill="text2" w:themeFillTint="99"/>
          </w:tcPr>
          <w:p w14:paraId="27173AAF" w14:textId="77777777" w:rsidR="00D438C6" w:rsidRPr="00CC06BC" w:rsidRDefault="00D438C6" w:rsidP="00E056C9">
            <w:pPr>
              <w:rPr>
                <w:b/>
                <w:color w:val="FFFFFF" w:themeColor="background1"/>
                <w:sz w:val="20"/>
                <w:szCs w:val="20"/>
              </w:rPr>
            </w:pPr>
            <w:r>
              <w:rPr>
                <w:b/>
                <w:color w:val="FFFFFF" w:themeColor="background1"/>
                <w:sz w:val="20"/>
                <w:szCs w:val="20"/>
              </w:rPr>
              <w:t>UC-2</w:t>
            </w:r>
            <w:r w:rsidRPr="00CC06BC">
              <w:rPr>
                <w:b/>
                <w:color w:val="FFFFFF" w:themeColor="background1"/>
                <w:sz w:val="20"/>
                <w:szCs w:val="20"/>
              </w:rPr>
              <w:t xml:space="preserve">: </w:t>
            </w:r>
            <w:r>
              <w:rPr>
                <w:b/>
                <w:color w:val="FFFFFF" w:themeColor="background1"/>
                <w:sz w:val="20"/>
                <w:szCs w:val="20"/>
              </w:rPr>
              <w:t>College Application Transmission (From Student to Service Provider acting on behalf of Receiving Institution)</w:t>
            </w:r>
          </w:p>
        </w:tc>
      </w:tr>
      <w:tr w:rsidR="00D438C6" w14:paraId="4ED33669" w14:textId="77777777" w:rsidTr="00E056C9">
        <w:tc>
          <w:tcPr>
            <w:tcW w:w="1548" w:type="dxa"/>
          </w:tcPr>
          <w:p w14:paraId="5F8303F5" w14:textId="77777777" w:rsidR="00D438C6" w:rsidRPr="00CC06BC" w:rsidRDefault="00D438C6" w:rsidP="00E056C9">
            <w:pPr>
              <w:rPr>
                <w:sz w:val="20"/>
                <w:szCs w:val="20"/>
              </w:rPr>
            </w:pPr>
            <w:r w:rsidRPr="00CC06BC">
              <w:rPr>
                <w:sz w:val="20"/>
                <w:szCs w:val="20"/>
              </w:rPr>
              <w:t>Summary</w:t>
            </w:r>
          </w:p>
        </w:tc>
        <w:tc>
          <w:tcPr>
            <w:tcW w:w="7812" w:type="dxa"/>
          </w:tcPr>
          <w:p w14:paraId="403BBD1F" w14:textId="5BF1B9A5" w:rsidR="00D438C6" w:rsidRPr="00CC06BC" w:rsidRDefault="00C34C93" w:rsidP="00C34C93">
            <w:pPr>
              <w:rPr>
                <w:sz w:val="20"/>
                <w:szCs w:val="20"/>
              </w:rPr>
            </w:pPr>
            <w:r>
              <w:rPr>
                <w:rFonts w:ascii="Calibri" w:eastAsia="Times New Roman" w:hAnsi="Calibri" w:cs="Times New Roman"/>
                <w:color w:val="000000"/>
                <w:sz w:val="20"/>
                <w:szCs w:val="20"/>
              </w:rPr>
              <w:t xml:space="preserve">This use case involves the transmission of completed college applications by a student user of a college-planning portal to one or more destinations.  Each service provider in this example may represent application handling services for one or more college recipients.  Examples include the Common Application, Universal Application, </w:t>
            </w:r>
            <w:proofErr w:type="spellStart"/>
            <w:r>
              <w:rPr>
                <w:rFonts w:ascii="Calibri" w:eastAsia="Times New Roman" w:hAnsi="Calibri" w:cs="Times New Roman"/>
                <w:color w:val="000000"/>
                <w:sz w:val="20"/>
                <w:szCs w:val="20"/>
              </w:rPr>
              <w:t>ApplyTexas</w:t>
            </w:r>
            <w:proofErr w:type="spellEnd"/>
            <w:r>
              <w:rPr>
                <w:rFonts w:ascii="Calibri" w:eastAsia="Times New Roman" w:hAnsi="Calibri" w:cs="Times New Roman"/>
                <w:color w:val="000000"/>
                <w:sz w:val="20"/>
                <w:szCs w:val="20"/>
              </w:rPr>
              <w:t>, or university systems that represent multiple campuses.</w:t>
            </w:r>
          </w:p>
        </w:tc>
      </w:tr>
      <w:tr w:rsidR="00D438C6" w14:paraId="621B3167" w14:textId="77777777" w:rsidTr="00E056C9">
        <w:tc>
          <w:tcPr>
            <w:tcW w:w="1548" w:type="dxa"/>
          </w:tcPr>
          <w:p w14:paraId="17DB466B" w14:textId="77777777" w:rsidR="00D438C6" w:rsidRPr="00CC06BC" w:rsidRDefault="00D438C6" w:rsidP="00E056C9">
            <w:pPr>
              <w:rPr>
                <w:sz w:val="20"/>
                <w:szCs w:val="20"/>
              </w:rPr>
            </w:pPr>
            <w:r w:rsidRPr="00CC06BC">
              <w:rPr>
                <w:sz w:val="20"/>
                <w:szCs w:val="20"/>
              </w:rPr>
              <w:t>Rationale</w:t>
            </w:r>
          </w:p>
        </w:tc>
        <w:tc>
          <w:tcPr>
            <w:tcW w:w="7812" w:type="dxa"/>
          </w:tcPr>
          <w:p w14:paraId="12FF2AD7" w14:textId="5AEA073B" w:rsidR="00D438C6" w:rsidRPr="00CC06BC" w:rsidRDefault="00C34C93" w:rsidP="00C34C93">
            <w:pPr>
              <w:rPr>
                <w:sz w:val="20"/>
                <w:szCs w:val="20"/>
              </w:rPr>
            </w:pPr>
            <w:r>
              <w:rPr>
                <w:sz w:val="20"/>
                <w:szCs w:val="20"/>
              </w:rPr>
              <w:t>Automated application exchange between service providers acting on behalf of multiple senders and recipients will make up the bulk of transactions for these PESC file formats.</w:t>
            </w:r>
          </w:p>
        </w:tc>
      </w:tr>
      <w:tr w:rsidR="00D438C6" w14:paraId="325481DA" w14:textId="77777777" w:rsidTr="00E056C9">
        <w:tc>
          <w:tcPr>
            <w:tcW w:w="1548" w:type="dxa"/>
          </w:tcPr>
          <w:p w14:paraId="48431834" w14:textId="77777777" w:rsidR="00D438C6" w:rsidRPr="00CC06BC" w:rsidRDefault="00D438C6" w:rsidP="00E056C9">
            <w:pPr>
              <w:rPr>
                <w:sz w:val="20"/>
                <w:szCs w:val="20"/>
              </w:rPr>
            </w:pPr>
            <w:r w:rsidRPr="00CC06BC">
              <w:rPr>
                <w:sz w:val="20"/>
                <w:szCs w:val="20"/>
              </w:rPr>
              <w:t>Users</w:t>
            </w:r>
          </w:p>
        </w:tc>
        <w:tc>
          <w:tcPr>
            <w:tcW w:w="7812" w:type="dxa"/>
          </w:tcPr>
          <w:p w14:paraId="51047049" w14:textId="0686585A" w:rsidR="00D438C6" w:rsidRPr="00CC06BC" w:rsidRDefault="00230BB0" w:rsidP="00E056C9">
            <w:pPr>
              <w:rPr>
                <w:sz w:val="20"/>
                <w:szCs w:val="20"/>
              </w:rPr>
            </w:pPr>
            <w:r>
              <w:rPr>
                <w:rFonts w:ascii="Calibri" w:eastAsia="Times New Roman" w:hAnsi="Calibri" w:cs="Times New Roman"/>
                <w:color w:val="000000"/>
                <w:sz w:val="20"/>
                <w:szCs w:val="20"/>
              </w:rPr>
              <w:t>Student, College Admissions, State or University System</w:t>
            </w:r>
          </w:p>
        </w:tc>
      </w:tr>
      <w:tr w:rsidR="00D438C6" w14:paraId="64DE3893" w14:textId="77777777" w:rsidTr="00E056C9">
        <w:tc>
          <w:tcPr>
            <w:tcW w:w="1548" w:type="dxa"/>
          </w:tcPr>
          <w:p w14:paraId="6F066029" w14:textId="77777777" w:rsidR="00D438C6" w:rsidRPr="00CC06BC" w:rsidRDefault="00D438C6" w:rsidP="00E056C9">
            <w:pPr>
              <w:rPr>
                <w:sz w:val="20"/>
                <w:szCs w:val="20"/>
              </w:rPr>
            </w:pPr>
            <w:r w:rsidRPr="00CC06BC">
              <w:rPr>
                <w:sz w:val="20"/>
                <w:szCs w:val="20"/>
              </w:rPr>
              <w:t>Preconditions</w:t>
            </w:r>
          </w:p>
        </w:tc>
        <w:tc>
          <w:tcPr>
            <w:tcW w:w="7812" w:type="dxa"/>
          </w:tcPr>
          <w:p w14:paraId="4E4F2477" w14:textId="77777777" w:rsidR="00230BB0" w:rsidRDefault="00230BB0" w:rsidP="00516F8E">
            <w:pPr>
              <w:pStyle w:val="ListParagraph"/>
              <w:numPr>
                <w:ilvl w:val="0"/>
                <w:numId w:val="7"/>
              </w:numPr>
              <w:rPr>
                <w:rFonts w:ascii="Calibri" w:eastAsia="Times New Roman" w:hAnsi="Calibri" w:cs="Times New Roman"/>
                <w:color w:val="000000"/>
                <w:sz w:val="20"/>
                <w:szCs w:val="20"/>
              </w:rPr>
            </w:pPr>
            <w:r w:rsidRPr="00E056C9">
              <w:rPr>
                <w:rFonts w:ascii="Calibri" w:eastAsia="Times New Roman" w:hAnsi="Calibri" w:cs="Times New Roman"/>
                <w:color w:val="000000"/>
                <w:sz w:val="20"/>
                <w:szCs w:val="20"/>
              </w:rPr>
              <w:t>Sending service provider has the ability to format an official academic transcript in a supported PESC format.</w:t>
            </w:r>
          </w:p>
          <w:p w14:paraId="4D36C445" w14:textId="37D3444C" w:rsidR="00230BB0" w:rsidRDefault="00230BB0" w:rsidP="00516F8E">
            <w:pPr>
              <w:pStyle w:val="ListParagraph"/>
              <w:numPr>
                <w:ilvl w:val="0"/>
                <w:numId w:val="7"/>
              </w:numPr>
              <w:rPr>
                <w:rFonts w:ascii="Calibri" w:eastAsia="Times New Roman" w:hAnsi="Calibri" w:cs="Times New Roman"/>
                <w:color w:val="000000"/>
                <w:sz w:val="20"/>
                <w:szCs w:val="20"/>
              </w:rPr>
            </w:pPr>
            <w:r>
              <w:rPr>
                <w:rFonts w:ascii="Calibri" w:eastAsia="Times New Roman" w:hAnsi="Calibri" w:cs="Times New Roman"/>
                <w:color w:val="000000"/>
                <w:sz w:val="20"/>
                <w:szCs w:val="20"/>
              </w:rPr>
              <w:t>Multiple recipient institutions are already registered with the receiving service provider and have specified their preferred file formats and required attachments.</w:t>
            </w:r>
          </w:p>
          <w:p w14:paraId="575988F4" w14:textId="0CFB7357" w:rsidR="00516F8E" w:rsidRPr="00516F8E" w:rsidRDefault="00516F8E" w:rsidP="00516F8E">
            <w:pPr>
              <w:pStyle w:val="ListParagraph"/>
              <w:numPr>
                <w:ilvl w:val="0"/>
                <w:numId w:val="7"/>
              </w:numPr>
              <w:rPr>
                <w:sz w:val="20"/>
                <w:szCs w:val="20"/>
              </w:rPr>
            </w:pPr>
            <w:r w:rsidRPr="002E736F">
              <w:rPr>
                <w:sz w:val="20"/>
                <w:szCs w:val="20"/>
              </w:rPr>
              <w:t xml:space="preserve">The </w:t>
            </w:r>
            <w:r>
              <w:rPr>
                <w:sz w:val="20"/>
                <w:szCs w:val="20"/>
              </w:rPr>
              <w:t xml:space="preserve">student has completed a college application in the </w:t>
            </w:r>
            <w:proofErr w:type="gramStart"/>
            <w:r>
              <w:rPr>
                <w:sz w:val="20"/>
                <w:szCs w:val="20"/>
              </w:rPr>
              <w:t>college planning</w:t>
            </w:r>
            <w:proofErr w:type="gramEnd"/>
            <w:r>
              <w:rPr>
                <w:sz w:val="20"/>
                <w:szCs w:val="20"/>
              </w:rPr>
              <w:t xml:space="preserve"> platform and has provided all required data elements and mandatory attachments for each college application on their college list.</w:t>
            </w:r>
          </w:p>
          <w:p w14:paraId="450ED3C0" w14:textId="77777777" w:rsidR="00D438C6" w:rsidRPr="00CC06BC" w:rsidRDefault="00D438C6" w:rsidP="00E056C9">
            <w:pPr>
              <w:rPr>
                <w:sz w:val="20"/>
                <w:szCs w:val="20"/>
              </w:rPr>
            </w:pPr>
          </w:p>
        </w:tc>
      </w:tr>
      <w:tr w:rsidR="00D438C6" w14:paraId="7107B531" w14:textId="77777777" w:rsidTr="00E056C9">
        <w:tc>
          <w:tcPr>
            <w:tcW w:w="1548" w:type="dxa"/>
          </w:tcPr>
          <w:p w14:paraId="3C2D58B6" w14:textId="77777777" w:rsidR="00D438C6" w:rsidRPr="00CC06BC" w:rsidRDefault="00D438C6" w:rsidP="00E056C9">
            <w:pPr>
              <w:rPr>
                <w:sz w:val="20"/>
                <w:szCs w:val="20"/>
              </w:rPr>
            </w:pPr>
            <w:r w:rsidRPr="00CC06BC">
              <w:rPr>
                <w:sz w:val="20"/>
                <w:szCs w:val="20"/>
              </w:rPr>
              <w:t>Basic Course of Events</w:t>
            </w:r>
          </w:p>
        </w:tc>
        <w:tc>
          <w:tcPr>
            <w:tcW w:w="7812" w:type="dxa"/>
          </w:tcPr>
          <w:p w14:paraId="32B11AE1" w14:textId="77777777" w:rsidR="00D438C6" w:rsidRDefault="00D438C6" w:rsidP="00E056C9">
            <w:pPr>
              <w:rPr>
                <w:sz w:val="20"/>
                <w:szCs w:val="20"/>
              </w:rPr>
            </w:pPr>
            <w:r>
              <w:rPr>
                <w:sz w:val="20"/>
                <w:szCs w:val="20"/>
              </w:rPr>
              <w:t>A numbered list of interactions between the system and one or more users</w:t>
            </w:r>
          </w:p>
          <w:p w14:paraId="57155EF9" w14:textId="6ABFE949" w:rsidR="00D438C6" w:rsidRDefault="00D438C6" w:rsidP="00516F8E">
            <w:pPr>
              <w:pStyle w:val="ListParagraph"/>
              <w:numPr>
                <w:ilvl w:val="0"/>
                <w:numId w:val="3"/>
              </w:numPr>
              <w:rPr>
                <w:sz w:val="20"/>
                <w:szCs w:val="20"/>
              </w:rPr>
            </w:pPr>
            <w:r w:rsidRPr="002E736F">
              <w:rPr>
                <w:sz w:val="20"/>
                <w:szCs w:val="20"/>
              </w:rPr>
              <w:t xml:space="preserve">The </w:t>
            </w:r>
            <w:r w:rsidR="00516F8E">
              <w:rPr>
                <w:sz w:val="20"/>
                <w:szCs w:val="20"/>
              </w:rPr>
              <w:t>student initiates the sending of completed application package to one or more colleges as indicated on their college list.</w:t>
            </w:r>
          </w:p>
          <w:p w14:paraId="63305EE2" w14:textId="44AAC674" w:rsidR="00516F8E" w:rsidRDefault="00516F8E" w:rsidP="00516F8E">
            <w:pPr>
              <w:pStyle w:val="ListParagraph"/>
              <w:numPr>
                <w:ilvl w:val="0"/>
                <w:numId w:val="3"/>
              </w:numPr>
              <w:rPr>
                <w:sz w:val="20"/>
                <w:szCs w:val="20"/>
              </w:rPr>
            </w:pPr>
            <w:r>
              <w:rPr>
                <w:sz w:val="20"/>
                <w:szCs w:val="20"/>
              </w:rPr>
              <w:t>The service provider presents a listing of destinations, with costs and estimated time to delivery for each</w:t>
            </w:r>
            <w:r>
              <w:rPr>
                <w:sz w:val="20"/>
                <w:szCs w:val="20"/>
              </w:rPr>
              <w:t xml:space="preserve"> (note:  costs for college applications and any surcharges are optional and to be specified by the recipient colleges)</w:t>
            </w:r>
            <w:r>
              <w:rPr>
                <w:sz w:val="20"/>
                <w:szCs w:val="20"/>
              </w:rPr>
              <w:t>.</w:t>
            </w:r>
          </w:p>
          <w:p w14:paraId="51B50042" w14:textId="28254B86" w:rsidR="00516F8E" w:rsidRDefault="00516F8E" w:rsidP="00516F8E">
            <w:pPr>
              <w:pStyle w:val="ListParagraph"/>
              <w:numPr>
                <w:ilvl w:val="0"/>
                <w:numId w:val="3"/>
              </w:numPr>
              <w:rPr>
                <w:sz w:val="20"/>
                <w:szCs w:val="20"/>
              </w:rPr>
            </w:pPr>
            <w:r>
              <w:rPr>
                <w:sz w:val="20"/>
                <w:szCs w:val="20"/>
              </w:rPr>
              <w:t xml:space="preserve">The student approves the request to send </w:t>
            </w:r>
            <w:r>
              <w:rPr>
                <w:sz w:val="20"/>
                <w:szCs w:val="20"/>
              </w:rPr>
              <w:t>applications</w:t>
            </w:r>
            <w:r>
              <w:rPr>
                <w:sz w:val="20"/>
                <w:szCs w:val="20"/>
              </w:rPr>
              <w:t xml:space="preserve"> after confirming the method and cost of delivery for one or more destinations.</w:t>
            </w:r>
          </w:p>
          <w:p w14:paraId="27D7BCFE" w14:textId="5A09D065" w:rsidR="00516F8E" w:rsidRDefault="00516F8E" w:rsidP="00516F8E">
            <w:pPr>
              <w:pStyle w:val="ListParagraph"/>
              <w:numPr>
                <w:ilvl w:val="0"/>
                <w:numId w:val="3"/>
              </w:numPr>
              <w:rPr>
                <w:sz w:val="20"/>
                <w:szCs w:val="20"/>
              </w:rPr>
            </w:pPr>
            <w:r>
              <w:rPr>
                <w:sz w:val="20"/>
                <w:szCs w:val="20"/>
              </w:rPr>
              <w:t xml:space="preserve">The service provider system determines the correct service destination, file format and protocol of transmission for each destination and processes the delivery of the </w:t>
            </w:r>
            <w:r>
              <w:rPr>
                <w:sz w:val="20"/>
                <w:szCs w:val="20"/>
              </w:rPr>
              <w:t>application package</w:t>
            </w:r>
            <w:r>
              <w:rPr>
                <w:sz w:val="20"/>
                <w:szCs w:val="20"/>
              </w:rPr>
              <w:t xml:space="preserve"> electronically.</w:t>
            </w:r>
          </w:p>
          <w:p w14:paraId="1A7A2E06" w14:textId="3E73527F" w:rsidR="00516F8E" w:rsidRDefault="00516F8E" w:rsidP="00516F8E">
            <w:pPr>
              <w:pStyle w:val="ListParagraph"/>
              <w:numPr>
                <w:ilvl w:val="0"/>
                <w:numId w:val="3"/>
              </w:numPr>
              <w:rPr>
                <w:sz w:val="20"/>
                <w:szCs w:val="20"/>
              </w:rPr>
            </w:pPr>
            <w:r>
              <w:rPr>
                <w:sz w:val="20"/>
                <w:szCs w:val="20"/>
              </w:rPr>
              <w:t xml:space="preserve">For each </w:t>
            </w:r>
            <w:r>
              <w:rPr>
                <w:sz w:val="20"/>
                <w:szCs w:val="20"/>
              </w:rPr>
              <w:t>application</w:t>
            </w:r>
            <w:r>
              <w:rPr>
                <w:sz w:val="20"/>
                <w:szCs w:val="20"/>
              </w:rPr>
              <w:t xml:space="preserve"> transaction, the sending service provider opens a connection to the correct recipient service provider and delivers the transactions for only those destinations supported by that service provider’s network and that honor the student’s preferences for costs and time to delivery.</w:t>
            </w:r>
          </w:p>
          <w:p w14:paraId="5C44562C" w14:textId="0CAF7712" w:rsidR="00516F8E" w:rsidRDefault="00516F8E" w:rsidP="00516F8E">
            <w:pPr>
              <w:pStyle w:val="ListParagraph"/>
              <w:numPr>
                <w:ilvl w:val="0"/>
                <w:numId w:val="3"/>
              </w:numPr>
              <w:rPr>
                <w:sz w:val="20"/>
                <w:szCs w:val="20"/>
              </w:rPr>
            </w:pPr>
            <w:r>
              <w:rPr>
                <w:sz w:val="20"/>
                <w:szCs w:val="20"/>
              </w:rPr>
              <w:t xml:space="preserve">The service provider will provide tracking information and confirmation of </w:t>
            </w:r>
            <w:r>
              <w:rPr>
                <w:sz w:val="20"/>
                <w:szCs w:val="20"/>
              </w:rPr>
              <w:t>application package</w:t>
            </w:r>
            <w:r>
              <w:rPr>
                <w:sz w:val="20"/>
                <w:szCs w:val="20"/>
              </w:rPr>
              <w:t xml:space="preserve"> delivery for each electronic destination.</w:t>
            </w:r>
          </w:p>
          <w:p w14:paraId="5E01402C" w14:textId="77777777" w:rsidR="00D438C6" w:rsidRPr="00CC06BC" w:rsidRDefault="00D438C6" w:rsidP="00E056C9">
            <w:pPr>
              <w:rPr>
                <w:sz w:val="20"/>
                <w:szCs w:val="20"/>
              </w:rPr>
            </w:pPr>
          </w:p>
        </w:tc>
      </w:tr>
      <w:tr w:rsidR="00D438C6" w14:paraId="34B22991" w14:textId="77777777" w:rsidTr="00E056C9">
        <w:tc>
          <w:tcPr>
            <w:tcW w:w="1548" w:type="dxa"/>
          </w:tcPr>
          <w:p w14:paraId="4FBF1781" w14:textId="77777777" w:rsidR="00D438C6" w:rsidRPr="00CC06BC" w:rsidRDefault="00D438C6" w:rsidP="00E056C9">
            <w:pPr>
              <w:rPr>
                <w:sz w:val="20"/>
                <w:szCs w:val="20"/>
              </w:rPr>
            </w:pPr>
            <w:r w:rsidRPr="00CC06BC">
              <w:rPr>
                <w:sz w:val="20"/>
                <w:szCs w:val="20"/>
              </w:rPr>
              <w:t>Alternative Paths</w:t>
            </w:r>
          </w:p>
        </w:tc>
        <w:tc>
          <w:tcPr>
            <w:tcW w:w="7812" w:type="dxa"/>
          </w:tcPr>
          <w:p w14:paraId="70F58FB2" w14:textId="77777777" w:rsidR="00D438C6" w:rsidRDefault="00D438C6" w:rsidP="00E056C9">
            <w:pPr>
              <w:rPr>
                <w:sz w:val="20"/>
                <w:szCs w:val="20"/>
              </w:rPr>
            </w:pPr>
            <w:r>
              <w:rPr>
                <w:sz w:val="20"/>
                <w:szCs w:val="20"/>
              </w:rPr>
              <w:t>Conditions under which the basic course of events (above) could change</w:t>
            </w:r>
          </w:p>
          <w:p w14:paraId="465DF491" w14:textId="79C01A8E" w:rsidR="00516F8E" w:rsidRDefault="00516F8E" w:rsidP="00516F8E">
            <w:pPr>
              <w:pStyle w:val="ListParagraph"/>
              <w:numPr>
                <w:ilvl w:val="0"/>
                <w:numId w:val="8"/>
              </w:numPr>
              <w:rPr>
                <w:sz w:val="20"/>
                <w:szCs w:val="20"/>
              </w:rPr>
            </w:pPr>
            <w:r>
              <w:rPr>
                <w:sz w:val="20"/>
                <w:szCs w:val="20"/>
              </w:rPr>
              <w:t>If no electronic delivery destinations are found for a given recipient, the service provider will handle the processing of</w:t>
            </w:r>
            <w:r>
              <w:rPr>
                <w:sz w:val="20"/>
                <w:szCs w:val="20"/>
              </w:rPr>
              <w:t xml:space="preserve"> the transaction offline, or the provider will not allow for the initial request for delivery altogether (implies prior knowledge of electronically enabled destinations).</w:t>
            </w:r>
          </w:p>
          <w:p w14:paraId="1D7C4747" w14:textId="77777777" w:rsidR="00516F8E" w:rsidRDefault="00516F8E" w:rsidP="00516F8E">
            <w:pPr>
              <w:pStyle w:val="ListParagraph"/>
              <w:numPr>
                <w:ilvl w:val="0"/>
                <w:numId w:val="8"/>
              </w:numPr>
              <w:rPr>
                <w:sz w:val="20"/>
                <w:szCs w:val="20"/>
              </w:rPr>
            </w:pPr>
            <w:r>
              <w:rPr>
                <w:sz w:val="20"/>
                <w:szCs w:val="20"/>
              </w:rPr>
              <w:t>If approval is required, per FERPA, prior to the release of the record, the service provider will handle the collection of any and all school official (registrar), parental, or other approvals.</w:t>
            </w:r>
          </w:p>
          <w:p w14:paraId="43C73826" w14:textId="73F2CD97" w:rsidR="00516F8E" w:rsidRDefault="00516F8E" w:rsidP="00516F8E">
            <w:pPr>
              <w:pStyle w:val="ListParagraph"/>
              <w:numPr>
                <w:ilvl w:val="0"/>
                <w:numId w:val="8"/>
              </w:numPr>
              <w:rPr>
                <w:sz w:val="20"/>
                <w:szCs w:val="20"/>
              </w:rPr>
            </w:pPr>
            <w:r>
              <w:rPr>
                <w:sz w:val="20"/>
                <w:szCs w:val="20"/>
              </w:rPr>
              <w:t xml:space="preserve">If any errors occur during transmission of </w:t>
            </w:r>
            <w:r w:rsidR="00086B6C">
              <w:rPr>
                <w:sz w:val="20"/>
                <w:szCs w:val="20"/>
              </w:rPr>
              <w:t>application packages</w:t>
            </w:r>
            <w:r>
              <w:rPr>
                <w:sz w:val="20"/>
                <w:szCs w:val="20"/>
              </w:rPr>
              <w:t>, the service provider will record the errors and handle responses to the connected systems gracefully.</w:t>
            </w:r>
          </w:p>
          <w:p w14:paraId="028147F5" w14:textId="77777777" w:rsidR="00D438C6" w:rsidRPr="00CC06BC" w:rsidRDefault="00D438C6" w:rsidP="00E056C9">
            <w:pPr>
              <w:rPr>
                <w:sz w:val="20"/>
                <w:szCs w:val="20"/>
              </w:rPr>
            </w:pPr>
          </w:p>
        </w:tc>
      </w:tr>
      <w:tr w:rsidR="00D438C6" w14:paraId="6EC1ADE0" w14:textId="77777777" w:rsidTr="00E056C9">
        <w:tc>
          <w:tcPr>
            <w:tcW w:w="1548" w:type="dxa"/>
          </w:tcPr>
          <w:p w14:paraId="31F175EC" w14:textId="77777777" w:rsidR="00D438C6" w:rsidRPr="00CC06BC" w:rsidRDefault="00D438C6" w:rsidP="00E056C9">
            <w:pPr>
              <w:rPr>
                <w:sz w:val="20"/>
                <w:szCs w:val="20"/>
              </w:rPr>
            </w:pPr>
            <w:proofErr w:type="spellStart"/>
            <w:r w:rsidRPr="00CC06BC">
              <w:rPr>
                <w:sz w:val="20"/>
                <w:szCs w:val="20"/>
              </w:rPr>
              <w:t>Postconditions</w:t>
            </w:r>
            <w:proofErr w:type="spellEnd"/>
          </w:p>
        </w:tc>
        <w:tc>
          <w:tcPr>
            <w:tcW w:w="7812" w:type="dxa"/>
          </w:tcPr>
          <w:p w14:paraId="6ABD8C1E" w14:textId="5E21124C" w:rsidR="00086B6C" w:rsidRDefault="00086B6C" w:rsidP="00086B6C">
            <w:pPr>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Electronic </w:t>
            </w:r>
            <w:r>
              <w:rPr>
                <w:rFonts w:ascii="Calibri" w:eastAsia="Times New Roman" w:hAnsi="Calibri" w:cs="Times New Roman"/>
                <w:color w:val="000000"/>
                <w:sz w:val="20"/>
                <w:szCs w:val="20"/>
              </w:rPr>
              <w:t>application packages</w:t>
            </w:r>
            <w:r>
              <w:rPr>
                <w:rFonts w:ascii="Calibri" w:eastAsia="Times New Roman" w:hAnsi="Calibri" w:cs="Times New Roman"/>
                <w:color w:val="000000"/>
                <w:sz w:val="20"/>
                <w:szCs w:val="20"/>
              </w:rPr>
              <w:t xml:space="preserve"> are confirmed as received by recipient institutions and all users involved in the transmission and approval of the </w:t>
            </w:r>
            <w:r>
              <w:rPr>
                <w:rFonts w:ascii="Calibri" w:eastAsia="Times New Roman" w:hAnsi="Calibri" w:cs="Times New Roman"/>
                <w:color w:val="000000"/>
                <w:sz w:val="20"/>
                <w:szCs w:val="20"/>
              </w:rPr>
              <w:t>applications</w:t>
            </w:r>
            <w:bookmarkStart w:id="0" w:name="_GoBack"/>
            <w:bookmarkEnd w:id="0"/>
            <w:r>
              <w:rPr>
                <w:rFonts w:ascii="Calibri" w:eastAsia="Times New Roman" w:hAnsi="Calibri" w:cs="Times New Roman"/>
                <w:color w:val="000000"/>
                <w:sz w:val="20"/>
                <w:szCs w:val="20"/>
              </w:rPr>
              <w:t xml:space="preserve"> have tracking information </w:t>
            </w:r>
            <w:r>
              <w:rPr>
                <w:rFonts w:ascii="Calibri" w:eastAsia="Times New Roman" w:hAnsi="Calibri" w:cs="Times New Roman"/>
                <w:color w:val="000000"/>
                <w:sz w:val="20"/>
                <w:szCs w:val="20"/>
              </w:rPr>
              <w:lastRenderedPageBreak/>
              <w:t>and confirmation of receipt.</w:t>
            </w:r>
          </w:p>
          <w:p w14:paraId="66DE070F" w14:textId="77777777" w:rsidR="00D438C6" w:rsidRPr="00CC06BC" w:rsidRDefault="00D438C6" w:rsidP="00E056C9">
            <w:pPr>
              <w:rPr>
                <w:sz w:val="20"/>
                <w:szCs w:val="20"/>
              </w:rPr>
            </w:pPr>
          </w:p>
        </w:tc>
      </w:tr>
      <w:tr w:rsidR="00D438C6" w14:paraId="4F7B1ABE" w14:textId="77777777" w:rsidTr="00E056C9">
        <w:tc>
          <w:tcPr>
            <w:tcW w:w="1548" w:type="dxa"/>
          </w:tcPr>
          <w:p w14:paraId="17386C01" w14:textId="77777777" w:rsidR="00D438C6" w:rsidRPr="00CC06BC" w:rsidRDefault="00D438C6" w:rsidP="00E056C9">
            <w:pPr>
              <w:rPr>
                <w:sz w:val="20"/>
                <w:szCs w:val="20"/>
              </w:rPr>
            </w:pPr>
            <w:r w:rsidRPr="00CC06BC">
              <w:rPr>
                <w:sz w:val="20"/>
                <w:szCs w:val="20"/>
              </w:rPr>
              <w:lastRenderedPageBreak/>
              <w:t>Related Documentation</w:t>
            </w:r>
          </w:p>
        </w:tc>
        <w:tc>
          <w:tcPr>
            <w:tcW w:w="7812" w:type="dxa"/>
          </w:tcPr>
          <w:p w14:paraId="6A941F21" w14:textId="16539759" w:rsidR="00D438C6" w:rsidRPr="00CC06BC" w:rsidRDefault="00230BB0" w:rsidP="00E056C9">
            <w:pPr>
              <w:rPr>
                <w:sz w:val="20"/>
                <w:szCs w:val="20"/>
              </w:rPr>
            </w:pPr>
            <w:r>
              <w:rPr>
                <w:rFonts w:ascii="Calibri" w:eastAsia="Times New Roman" w:hAnsi="Calibri" w:cs="Times New Roman"/>
                <w:color w:val="000000"/>
                <w:sz w:val="20"/>
                <w:szCs w:val="20"/>
              </w:rPr>
              <w:t>N/A</w:t>
            </w:r>
          </w:p>
        </w:tc>
      </w:tr>
    </w:tbl>
    <w:p w14:paraId="40BDB820" w14:textId="77777777" w:rsidR="00D438C6" w:rsidRDefault="00D438C6" w:rsidP="00D438C6"/>
    <w:p w14:paraId="494D79F1" w14:textId="77777777" w:rsidR="00D438C6" w:rsidRDefault="00D438C6" w:rsidP="00D438C6"/>
    <w:tbl>
      <w:tblPr>
        <w:tblStyle w:val="TableGrid"/>
        <w:tblW w:w="0" w:type="auto"/>
        <w:tblInd w:w="108" w:type="dxa"/>
        <w:tblLook w:val="04A0" w:firstRow="1" w:lastRow="0" w:firstColumn="1" w:lastColumn="0" w:noHBand="0" w:noVBand="1"/>
      </w:tblPr>
      <w:tblGrid>
        <w:gridCol w:w="1548"/>
        <w:gridCol w:w="7812"/>
      </w:tblGrid>
      <w:tr w:rsidR="00D438C6" w14:paraId="30C7ED65" w14:textId="77777777" w:rsidTr="00E056C9">
        <w:tc>
          <w:tcPr>
            <w:tcW w:w="1548" w:type="dxa"/>
            <w:shd w:val="clear" w:color="auto" w:fill="548DD4" w:themeFill="text2" w:themeFillTint="99"/>
          </w:tcPr>
          <w:p w14:paraId="3C4BF5FB" w14:textId="77777777" w:rsidR="00D438C6" w:rsidRPr="00CC06BC" w:rsidRDefault="00D438C6" w:rsidP="00E056C9">
            <w:pPr>
              <w:rPr>
                <w:b/>
                <w:color w:val="FFFFFF" w:themeColor="background1"/>
                <w:sz w:val="20"/>
                <w:szCs w:val="20"/>
              </w:rPr>
            </w:pPr>
            <w:r w:rsidRPr="00CC06BC">
              <w:rPr>
                <w:b/>
                <w:color w:val="FFFFFF" w:themeColor="background1"/>
                <w:sz w:val="20"/>
                <w:szCs w:val="20"/>
              </w:rPr>
              <w:t>Name</w:t>
            </w:r>
          </w:p>
        </w:tc>
        <w:tc>
          <w:tcPr>
            <w:tcW w:w="7812" w:type="dxa"/>
            <w:shd w:val="clear" w:color="auto" w:fill="548DD4" w:themeFill="text2" w:themeFillTint="99"/>
          </w:tcPr>
          <w:p w14:paraId="49287972" w14:textId="77777777" w:rsidR="00D438C6" w:rsidRPr="00CC06BC" w:rsidRDefault="00D438C6" w:rsidP="00D438C6">
            <w:pPr>
              <w:rPr>
                <w:b/>
                <w:color w:val="FFFFFF" w:themeColor="background1"/>
                <w:sz w:val="20"/>
                <w:szCs w:val="20"/>
              </w:rPr>
            </w:pPr>
            <w:r>
              <w:rPr>
                <w:b/>
                <w:color w:val="FFFFFF" w:themeColor="background1"/>
                <w:sz w:val="20"/>
                <w:szCs w:val="20"/>
              </w:rPr>
              <w:t>UC-3</w:t>
            </w:r>
            <w:r w:rsidRPr="00CC06BC">
              <w:rPr>
                <w:b/>
                <w:color w:val="FFFFFF" w:themeColor="background1"/>
                <w:sz w:val="20"/>
                <w:szCs w:val="20"/>
              </w:rPr>
              <w:t xml:space="preserve">: </w:t>
            </w:r>
            <w:r>
              <w:rPr>
                <w:b/>
                <w:color w:val="FFFFFF" w:themeColor="background1"/>
                <w:sz w:val="20"/>
                <w:szCs w:val="20"/>
              </w:rPr>
              <w:t>Electronic Portfolio Exchange Between Multiple States</w:t>
            </w:r>
          </w:p>
        </w:tc>
      </w:tr>
      <w:tr w:rsidR="00D438C6" w14:paraId="3458B19C" w14:textId="77777777" w:rsidTr="00E056C9">
        <w:tc>
          <w:tcPr>
            <w:tcW w:w="1548" w:type="dxa"/>
          </w:tcPr>
          <w:p w14:paraId="00EB1383" w14:textId="77777777" w:rsidR="00D438C6" w:rsidRPr="00CC06BC" w:rsidRDefault="00D438C6" w:rsidP="00E056C9">
            <w:pPr>
              <w:rPr>
                <w:sz w:val="20"/>
                <w:szCs w:val="20"/>
              </w:rPr>
            </w:pPr>
            <w:r w:rsidRPr="00CC06BC">
              <w:rPr>
                <w:sz w:val="20"/>
                <w:szCs w:val="20"/>
              </w:rPr>
              <w:t>Summary</w:t>
            </w:r>
          </w:p>
        </w:tc>
        <w:tc>
          <w:tcPr>
            <w:tcW w:w="7812" w:type="dxa"/>
          </w:tcPr>
          <w:p w14:paraId="55583792" w14:textId="77777777" w:rsidR="00D438C6" w:rsidRPr="00CC06BC" w:rsidRDefault="00D438C6" w:rsidP="00E056C9">
            <w:pPr>
              <w:rPr>
                <w:sz w:val="20"/>
                <w:szCs w:val="20"/>
              </w:rPr>
            </w:pPr>
            <w:r w:rsidRPr="00CC06BC">
              <w:rPr>
                <w:rFonts w:ascii="Calibri" w:eastAsia="Times New Roman" w:hAnsi="Calibri" w:cs="Times New Roman"/>
                <w:color w:val="000000"/>
                <w:sz w:val="20"/>
                <w:szCs w:val="20"/>
              </w:rPr>
              <w:t>Brief description of the use case</w:t>
            </w:r>
          </w:p>
        </w:tc>
      </w:tr>
      <w:tr w:rsidR="00D438C6" w14:paraId="515A4D61" w14:textId="77777777" w:rsidTr="00E056C9">
        <w:tc>
          <w:tcPr>
            <w:tcW w:w="1548" w:type="dxa"/>
          </w:tcPr>
          <w:p w14:paraId="49A27D3F" w14:textId="77777777" w:rsidR="00D438C6" w:rsidRPr="00CC06BC" w:rsidRDefault="00D438C6" w:rsidP="00E056C9">
            <w:pPr>
              <w:rPr>
                <w:sz w:val="20"/>
                <w:szCs w:val="20"/>
              </w:rPr>
            </w:pPr>
            <w:r w:rsidRPr="00CC06BC">
              <w:rPr>
                <w:sz w:val="20"/>
                <w:szCs w:val="20"/>
              </w:rPr>
              <w:t>Rationale</w:t>
            </w:r>
          </w:p>
        </w:tc>
        <w:tc>
          <w:tcPr>
            <w:tcW w:w="7812" w:type="dxa"/>
          </w:tcPr>
          <w:p w14:paraId="79ABAFFA" w14:textId="77777777" w:rsidR="00D438C6" w:rsidRDefault="00D438C6" w:rsidP="00E056C9">
            <w:pPr>
              <w:rPr>
                <w:sz w:val="20"/>
                <w:szCs w:val="20"/>
              </w:rPr>
            </w:pPr>
          </w:p>
          <w:p w14:paraId="4A8AFEB5" w14:textId="77777777" w:rsidR="00D438C6" w:rsidRPr="00CC06BC" w:rsidRDefault="00D438C6" w:rsidP="00E056C9">
            <w:pPr>
              <w:rPr>
                <w:sz w:val="20"/>
                <w:szCs w:val="20"/>
              </w:rPr>
            </w:pPr>
          </w:p>
        </w:tc>
      </w:tr>
      <w:tr w:rsidR="00D438C6" w14:paraId="57C0DEE0" w14:textId="77777777" w:rsidTr="00E056C9">
        <w:tc>
          <w:tcPr>
            <w:tcW w:w="1548" w:type="dxa"/>
          </w:tcPr>
          <w:p w14:paraId="10576419" w14:textId="77777777" w:rsidR="00D438C6" w:rsidRPr="00CC06BC" w:rsidRDefault="00D438C6" w:rsidP="00E056C9">
            <w:pPr>
              <w:rPr>
                <w:sz w:val="20"/>
                <w:szCs w:val="20"/>
              </w:rPr>
            </w:pPr>
            <w:r w:rsidRPr="00CC06BC">
              <w:rPr>
                <w:sz w:val="20"/>
                <w:szCs w:val="20"/>
              </w:rPr>
              <w:t>Users</w:t>
            </w:r>
          </w:p>
        </w:tc>
        <w:tc>
          <w:tcPr>
            <w:tcW w:w="7812" w:type="dxa"/>
          </w:tcPr>
          <w:p w14:paraId="03A7CF1B" w14:textId="77777777" w:rsidR="00D438C6" w:rsidRPr="00CC06BC" w:rsidRDefault="00D438C6" w:rsidP="00E056C9">
            <w:pPr>
              <w:rPr>
                <w:sz w:val="20"/>
                <w:szCs w:val="20"/>
              </w:rPr>
            </w:pPr>
            <w:r w:rsidRPr="00CC06BC">
              <w:rPr>
                <w:rFonts w:ascii="Calibri" w:eastAsia="Times New Roman" w:hAnsi="Calibri" w:cs="Times New Roman"/>
                <w:color w:val="000000"/>
                <w:sz w:val="20"/>
                <w:szCs w:val="20"/>
              </w:rPr>
              <w:t xml:space="preserve">A list of all </w:t>
            </w:r>
            <w:r>
              <w:rPr>
                <w:rFonts w:ascii="Calibri" w:eastAsia="Times New Roman" w:hAnsi="Calibri" w:cs="Times New Roman"/>
                <w:color w:val="000000"/>
                <w:sz w:val="20"/>
                <w:szCs w:val="20"/>
              </w:rPr>
              <w:t>user roles</w:t>
            </w:r>
            <w:r w:rsidRPr="00CC06BC">
              <w:rPr>
                <w:rFonts w:ascii="Calibri" w:eastAsia="Times New Roman" w:hAnsi="Calibri" w:cs="Times New Roman"/>
                <w:color w:val="000000"/>
                <w:sz w:val="20"/>
                <w:szCs w:val="20"/>
              </w:rPr>
              <w:t xml:space="preserve"> that interact with this use case</w:t>
            </w:r>
          </w:p>
        </w:tc>
      </w:tr>
      <w:tr w:rsidR="00D438C6" w14:paraId="773B96B9" w14:textId="77777777" w:rsidTr="00E056C9">
        <w:tc>
          <w:tcPr>
            <w:tcW w:w="1548" w:type="dxa"/>
          </w:tcPr>
          <w:p w14:paraId="1D332DB0" w14:textId="77777777" w:rsidR="00D438C6" w:rsidRPr="00CC06BC" w:rsidRDefault="00D438C6" w:rsidP="00E056C9">
            <w:pPr>
              <w:rPr>
                <w:sz w:val="20"/>
                <w:szCs w:val="20"/>
              </w:rPr>
            </w:pPr>
            <w:r w:rsidRPr="00CC06BC">
              <w:rPr>
                <w:sz w:val="20"/>
                <w:szCs w:val="20"/>
              </w:rPr>
              <w:t>Preconditions</w:t>
            </w:r>
          </w:p>
        </w:tc>
        <w:tc>
          <w:tcPr>
            <w:tcW w:w="7812" w:type="dxa"/>
          </w:tcPr>
          <w:p w14:paraId="4F6C8B82" w14:textId="77777777" w:rsidR="00D438C6" w:rsidRDefault="00D438C6" w:rsidP="00E056C9">
            <w:pPr>
              <w:rPr>
                <w:rFonts w:ascii="Calibri" w:eastAsia="Times New Roman" w:hAnsi="Calibri" w:cs="Times New Roman"/>
                <w:color w:val="000000"/>
                <w:sz w:val="20"/>
                <w:szCs w:val="20"/>
              </w:rPr>
            </w:pPr>
            <w:r w:rsidRPr="00CC06BC">
              <w:rPr>
                <w:rFonts w:ascii="Calibri" w:eastAsia="Times New Roman" w:hAnsi="Calibri" w:cs="Times New Roman"/>
                <w:color w:val="000000"/>
                <w:sz w:val="20"/>
                <w:szCs w:val="20"/>
              </w:rPr>
              <w:t>The state of the software before the use case begins</w:t>
            </w:r>
          </w:p>
          <w:p w14:paraId="1230DA83" w14:textId="77777777" w:rsidR="00D438C6" w:rsidRPr="00CC06BC" w:rsidRDefault="00D438C6" w:rsidP="00E056C9">
            <w:pPr>
              <w:rPr>
                <w:sz w:val="20"/>
                <w:szCs w:val="20"/>
              </w:rPr>
            </w:pPr>
          </w:p>
        </w:tc>
      </w:tr>
      <w:tr w:rsidR="00D438C6" w14:paraId="0A92BA39" w14:textId="77777777" w:rsidTr="00E056C9">
        <w:tc>
          <w:tcPr>
            <w:tcW w:w="1548" w:type="dxa"/>
          </w:tcPr>
          <w:p w14:paraId="44122DD2" w14:textId="77777777" w:rsidR="00D438C6" w:rsidRPr="00CC06BC" w:rsidRDefault="00D438C6" w:rsidP="00E056C9">
            <w:pPr>
              <w:rPr>
                <w:sz w:val="20"/>
                <w:szCs w:val="20"/>
              </w:rPr>
            </w:pPr>
            <w:r w:rsidRPr="00CC06BC">
              <w:rPr>
                <w:sz w:val="20"/>
                <w:szCs w:val="20"/>
              </w:rPr>
              <w:t>Basic Course of Events</w:t>
            </w:r>
          </w:p>
        </w:tc>
        <w:tc>
          <w:tcPr>
            <w:tcW w:w="7812" w:type="dxa"/>
          </w:tcPr>
          <w:p w14:paraId="08749973" w14:textId="77777777" w:rsidR="00D438C6" w:rsidRDefault="00D438C6" w:rsidP="00E056C9">
            <w:pPr>
              <w:rPr>
                <w:sz w:val="20"/>
                <w:szCs w:val="20"/>
              </w:rPr>
            </w:pPr>
            <w:r>
              <w:rPr>
                <w:sz w:val="20"/>
                <w:szCs w:val="20"/>
              </w:rPr>
              <w:t>A numbered list of interactions between the system and one or more users</w:t>
            </w:r>
          </w:p>
          <w:p w14:paraId="7C2F812D" w14:textId="77777777" w:rsidR="00D438C6" w:rsidRDefault="00D438C6" w:rsidP="00E056C9">
            <w:pPr>
              <w:pStyle w:val="ListParagraph"/>
              <w:numPr>
                <w:ilvl w:val="0"/>
                <w:numId w:val="3"/>
              </w:numPr>
              <w:rPr>
                <w:sz w:val="20"/>
                <w:szCs w:val="20"/>
              </w:rPr>
            </w:pPr>
            <w:r w:rsidRPr="002E736F">
              <w:rPr>
                <w:sz w:val="20"/>
                <w:szCs w:val="20"/>
              </w:rPr>
              <w:t>The user…</w:t>
            </w:r>
          </w:p>
          <w:p w14:paraId="457BA896" w14:textId="77777777" w:rsidR="00D438C6" w:rsidRDefault="00D438C6" w:rsidP="00E056C9">
            <w:pPr>
              <w:pStyle w:val="ListParagraph"/>
              <w:numPr>
                <w:ilvl w:val="0"/>
                <w:numId w:val="3"/>
              </w:numPr>
              <w:rPr>
                <w:sz w:val="20"/>
                <w:szCs w:val="20"/>
              </w:rPr>
            </w:pPr>
            <w:r w:rsidRPr="002E736F">
              <w:rPr>
                <w:sz w:val="20"/>
                <w:szCs w:val="20"/>
              </w:rPr>
              <w:t>The software…</w:t>
            </w:r>
          </w:p>
          <w:p w14:paraId="33FF6B78" w14:textId="77777777" w:rsidR="00D438C6" w:rsidRDefault="00D438C6" w:rsidP="00E056C9">
            <w:pPr>
              <w:pStyle w:val="ListParagraph"/>
              <w:numPr>
                <w:ilvl w:val="0"/>
                <w:numId w:val="3"/>
              </w:numPr>
              <w:rPr>
                <w:sz w:val="20"/>
                <w:szCs w:val="20"/>
              </w:rPr>
            </w:pPr>
            <w:r w:rsidRPr="002E736F">
              <w:rPr>
                <w:sz w:val="20"/>
                <w:szCs w:val="20"/>
              </w:rPr>
              <w:t>…</w:t>
            </w:r>
          </w:p>
          <w:p w14:paraId="68CAA06D" w14:textId="77777777" w:rsidR="00D438C6" w:rsidRPr="002E736F" w:rsidRDefault="00D438C6" w:rsidP="00E056C9">
            <w:pPr>
              <w:pStyle w:val="ListParagraph"/>
              <w:numPr>
                <w:ilvl w:val="0"/>
                <w:numId w:val="3"/>
              </w:numPr>
              <w:rPr>
                <w:sz w:val="20"/>
                <w:szCs w:val="20"/>
              </w:rPr>
            </w:pPr>
            <w:r w:rsidRPr="002E736F">
              <w:rPr>
                <w:sz w:val="20"/>
                <w:szCs w:val="20"/>
              </w:rPr>
              <w:t>…</w:t>
            </w:r>
          </w:p>
          <w:p w14:paraId="40795A87" w14:textId="77777777" w:rsidR="00D438C6" w:rsidRPr="00CC06BC" w:rsidRDefault="00D438C6" w:rsidP="00E056C9">
            <w:pPr>
              <w:rPr>
                <w:sz w:val="20"/>
                <w:szCs w:val="20"/>
              </w:rPr>
            </w:pPr>
          </w:p>
        </w:tc>
      </w:tr>
      <w:tr w:rsidR="00D438C6" w14:paraId="1AA6FE4A" w14:textId="77777777" w:rsidTr="00E056C9">
        <w:tc>
          <w:tcPr>
            <w:tcW w:w="1548" w:type="dxa"/>
          </w:tcPr>
          <w:p w14:paraId="39FED3A1" w14:textId="77777777" w:rsidR="00D438C6" w:rsidRPr="00CC06BC" w:rsidRDefault="00D438C6" w:rsidP="00E056C9">
            <w:pPr>
              <w:rPr>
                <w:sz w:val="20"/>
                <w:szCs w:val="20"/>
              </w:rPr>
            </w:pPr>
            <w:r w:rsidRPr="00CC06BC">
              <w:rPr>
                <w:sz w:val="20"/>
                <w:szCs w:val="20"/>
              </w:rPr>
              <w:t>Alternative Paths</w:t>
            </w:r>
          </w:p>
        </w:tc>
        <w:tc>
          <w:tcPr>
            <w:tcW w:w="7812" w:type="dxa"/>
          </w:tcPr>
          <w:p w14:paraId="0009A6CD" w14:textId="77777777" w:rsidR="00D438C6" w:rsidRDefault="00D438C6" w:rsidP="00E056C9">
            <w:pPr>
              <w:rPr>
                <w:sz w:val="20"/>
                <w:szCs w:val="20"/>
              </w:rPr>
            </w:pPr>
            <w:r>
              <w:rPr>
                <w:sz w:val="20"/>
                <w:szCs w:val="20"/>
              </w:rPr>
              <w:t>Conditions under which the basic course of events (above) could change</w:t>
            </w:r>
          </w:p>
          <w:p w14:paraId="0D50BBC0" w14:textId="77777777" w:rsidR="00D438C6" w:rsidRPr="002E736F" w:rsidRDefault="00D438C6" w:rsidP="00E056C9">
            <w:pPr>
              <w:pStyle w:val="ListParagraph"/>
              <w:numPr>
                <w:ilvl w:val="0"/>
                <w:numId w:val="4"/>
              </w:numPr>
              <w:rPr>
                <w:sz w:val="20"/>
                <w:szCs w:val="20"/>
              </w:rPr>
            </w:pPr>
            <w:proofErr w:type="gramStart"/>
            <w:r w:rsidRPr="002E736F">
              <w:rPr>
                <w:sz w:val="20"/>
                <w:szCs w:val="20"/>
              </w:rPr>
              <w:t>If…,</w:t>
            </w:r>
            <w:proofErr w:type="gramEnd"/>
            <w:r w:rsidRPr="002E736F">
              <w:rPr>
                <w:sz w:val="20"/>
                <w:szCs w:val="20"/>
              </w:rPr>
              <w:t xml:space="preserve"> then…</w:t>
            </w:r>
          </w:p>
          <w:p w14:paraId="6D3F6DD8" w14:textId="77777777" w:rsidR="00D438C6" w:rsidRDefault="00D438C6" w:rsidP="00E056C9">
            <w:pPr>
              <w:pStyle w:val="ListParagraph"/>
              <w:numPr>
                <w:ilvl w:val="0"/>
                <w:numId w:val="4"/>
              </w:numPr>
              <w:rPr>
                <w:sz w:val="20"/>
                <w:szCs w:val="20"/>
              </w:rPr>
            </w:pPr>
            <w:r>
              <w:rPr>
                <w:sz w:val="20"/>
                <w:szCs w:val="20"/>
              </w:rPr>
              <w:t>…</w:t>
            </w:r>
          </w:p>
          <w:p w14:paraId="3565EEB3" w14:textId="77777777" w:rsidR="00D438C6" w:rsidRPr="00D66CB7" w:rsidRDefault="00D438C6" w:rsidP="00E056C9">
            <w:pPr>
              <w:pStyle w:val="ListParagraph"/>
              <w:numPr>
                <w:ilvl w:val="0"/>
                <w:numId w:val="4"/>
              </w:numPr>
              <w:rPr>
                <w:sz w:val="20"/>
                <w:szCs w:val="20"/>
              </w:rPr>
            </w:pPr>
            <w:r>
              <w:rPr>
                <w:sz w:val="20"/>
                <w:szCs w:val="20"/>
              </w:rPr>
              <w:t>…</w:t>
            </w:r>
          </w:p>
          <w:p w14:paraId="22831AC7" w14:textId="77777777" w:rsidR="00D438C6" w:rsidRPr="00CC06BC" w:rsidRDefault="00D438C6" w:rsidP="00E056C9">
            <w:pPr>
              <w:rPr>
                <w:sz w:val="20"/>
                <w:szCs w:val="20"/>
              </w:rPr>
            </w:pPr>
          </w:p>
        </w:tc>
      </w:tr>
      <w:tr w:rsidR="00D438C6" w14:paraId="241E0AA2" w14:textId="77777777" w:rsidTr="00E056C9">
        <w:tc>
          <w:tcPr>
            <w:tcW w:w="1548" w:type="dxa"/>
          </w:tcPr>
          <w:p w14:paraId="137626FD" w14:textId="77777777" w:rsidR="00D438C6" w:rsidRPr="00CC06BC" w:rsidRDefault="00D438C6" w:rsidP="00E056C9">
            <w:pPr>
              <w:rPr>
                <w:sz w:val="20"/>
                <w:szCs w:val="20"/>
              </w:rPr>
            </w:pPr>
            <w:proofErr w:type="spellStart"/>
            <w:r w:rsidRPr="00CC06BC">
              <w:rPr>
                <w:sz w:val="20"/>
                <w:szCs w:val="20"/>
              </w:rPr>
              <w:t>Postconditions</w:t>
            </w:r>
            <w:proofErr w:type="spellEnd"/>
          </w:p>
        </w:tc>
        <w:tc>
          <w:tcPr>
            <w:tcW w:w="7812" w:type="dxa"/>
          </w:tcPr>
          <w:p w14:paraId="36C2840A" w14:textId="77777777" w:rsidR="00D438C6" w:rsidRDefault="00D438C6" w:rsidP="00E056C9">
            <w:pPr>
              <w:rPr>
                <w:rFonts w:ascii="Calibri" w:eastAsia="Times New Roman" w:hAnsi="Calibri" w:cs="Times New Roman"/>
                <w:color w:val="000000"/>
                <w:sz w:val="20"/>
                <w:szCs w:val="20"/>
              </w:rPr>
            </w:pPr>
            <w:r w:rsidRPr="00CC06BC">
              <w:rPr>
                <w:rFonts w:ascii="Calibri" w:eastAsia="Times New Roman" w:hAnsi="Calibri" w:cs="Times New Roman"/>
                <w:color w:val="000000"/>
                <w:sz w:val="20"/>
                <w:szCs w:val="20"/>
              </w:rPr>
              <w:t>The state of the software after the use case ends</w:t>
            </w:r>
          </w:p>
          <w:p w14:paraId="5F503C16" w14:textId="77777777" w:rsidR="00D438C6" w:rsidRPr="00CC06BC" w:rsidRDefault="00D438C6" w:rsidP="00E056C9">
            <w:pPr>
              <w:rPr>
                <w:sz w:val="20"/>
                <w:szCs w:val="20"/>
              </w:rPr>
            </w:pPr>
          </w:p>
        </w:tc>
      </w:tr>
      <w:tr w:rsidR="00D438C6" w14:paraId="01EC0FE1" w14:textId="77777777" w:rsidTr="00E056C9">
        <w:tc>
          <w:tcPr>
            <w:tcW w:w="1548" w:type="dxa"/>
          </w:tcPr>
          <w:p w14:paraId="2F8ABF3F" w14:textId="77777777" w:rsidR="00D438C6" w:rsidRPr="00CC06BC" w:rsidRDefault="00D438C6" w:rsidP="00E056C9">
            <w:pPr>
              <w:rPr>
                <w:sz w:val="20"/>
                <w:szCs w:val="20"/>
              </w:rPr>
            </w:pPr>
            <w:r w:rsidRPr="00CC06BC">
              <w:rPr>
                <w:sz w:val="20"/>
                <w:szCs w:val="20"/>
              </w:rPr>
              <w:t>Related Documentation</w:t>
            </w:r>
          </w:p>
        </w:tc>
        <w:tc>
          <w:tcPr>
            <w:tcW w:w="7812" w:type="dxa"/>
          </w:tcPr>
          <w:p w14:paraId="78D797EB" w14:textId="77777777" w:rsidR="00D438C6" w:rsidRPr="00CC06BC" w:rsidRDefault="00D438C6" w:rsidP="00E056C9">
            <w:pPr>
              <w:rPr>
                <w:sz w:val="20"/>
                <w:szCs w:val="20"/>
              </w:rPr>
            </w:pPr>
            <w:r>
              <w:rPr>
                <w:rFonts w:ascii="Calibri" w:eastAsia="Times New Roman" w:hAnsi="Calibri" w:cs="Times New Roman"/>
                <w:color w:val="000000"/>
                <w:sz w:val="20"/>
                <w:szCs w:val="20"/>
              </w:rPr>
              <w:t xml:space="preserve">Reference to any documentation </w:t>
            </w:r>
            <w:r w:rsidRPr="00CC06BC">
              <w:rPr>
                <w:rFonts w:ascii="Calibri" w:eastAsia="Times New Roman" w:hAnsi="Calibri" w:cs="Times New Roman"/>
                <w:color w:val="000000"/>
                <w:sz w:val="20"/>
                <w:szCs w:val="20"/>
              </w:rPr>
              <w:t>relevant to understanding this use case</w:t>
            </w:r>
            <w:r>
              <w:rPr>
                <w:rFonts w:ascii="Calibri" w:eastAsia="Times New Roman" w:hAnsi="Calibri" w:cs="Times New Roman"/>
                <w:color w:val="000000"/>
                <w:sz w:val="20"/>
                <w:szCs w:val="20"/>
              </w:rPr>
              <w:t xml:space="preserve"> (e.g</w:t>
            </w:r>
            <w:r w:rsidRPr="00CC06BC">
              <w:rPr>
                <w:rFonts w:ascii="Calibri" w:eastAsia="Times New Roman" w:hAnsi="Calibri" w:cs="Times New Roman"/>
                <w:color w:val="000000"/>
                <w:sz w:val="20"/>
                <w:szCs w:val="20"/>
              </w:rPr>
              <w:t>.</w:t>
            </w:r>
            <w:r>
              <w:rPr>
                <w:rFonts w:ascii="Calibri" w:eastAsia="Times New Roman" w:hAnsi="Calibri" w:cs="Times New Roman"/>
                <w:color w:val="000000"/>
                <w:sz w:val="20"/>
                <w:szCs w:val="20"/>
              </w:rPr>
              <w:t xml:space="preserve"> mock-ups, screenshots, personas, contractual line items etc.). </w:t>
            </w:r>
          </w:p>
        </w:tc>
      </w:tr>
    </w:tbl>
    <w:p w14:paraId="5829E7CE" w14:textId="77777777" w:rsidR="00D438C6" w:rsidRDefault="00D438C6" w:rsidP="00D438C6"/>
    <w:p w14:paraId="5AAEA51A" w14:textId="77777777" w:rsidR="00D438C6" w:rsidRDefault="00D438C6" w:rsidP="00D438C6"/>
    <w:tbl>
      <w:tblPr>
        <w:tblStyle w:val="TableGrid"/>
        <w:tblW w:w="0" w:type="auto"/>
        <w:tblInd w:w="108" w:type="dxa"/>
        <w:tblLook w:val="04A0" w:firstRow="1" w:lastRow="0" w:firstColumn="1" w:lastColumn="0" w:noHBand="0" w:noVBand="1"/>
      </w:tblPr>
      <w:tblGrid>
        <w:gridCol w:w="1548"/>
        <w:gridCol w:w="7812"/>
      </w:tblGrid>
      <w:tr w:rsidR="00D438C6" w14:paraId="0C278658" w14:textId="77777777" w:rsidTr="00E056C9">
        <w:tc>
          <w:tcPr>
            <w:tcW w:w="1548" w:type="dxa"/>
            <w:shd w:val="clear" w:color="auto" w:fill="548DD4" w:themeFill="text2" w:themeFillTint="99"/>
          </w:tcPr>
          <w:p w14:paraId="7900AA10" w14:textId="77777777" w:rsidR="00D438C6" w:rsidRPr="00CC06BC" w:rsidRDefault="00D438C6" w:rsidP="00E056C9">
            <w:pPr>
              <w:rPr>
                <w:b/>
                <w:color w:val="FFFFFF" w:themeColor="background1"/>
                <w:sz w:val="20"/>
                <w:szCs w:val="20"/>
              </w:rPr>
            </w:pPr>
            <w:r w:rsidRPr="00CC06BC">
              <w:rPr>
                <w:b/>
                <w:color w:val="FFFFFF" w:themeColor="background1"/>
                <w:sz w:val="20"/>
                <w:szCs w:val="20"/>
              </w:rPr>
              <w:t>Name</w:t>
            </w:r>
          </w:p>
        </w:tc>
        <w:tc>
          <w:tcPr>
            <w:tcW w:w="7812" w:type="dxa"/>
            <w:shd w:val="clear" w:color="auto" w:fill="548DD4" w:themeFill="text2" w:themeFillTint="99"/>
          </w:tcPr>
          <w:p w14:paraId="29891CED" w14:textId="77777777" w:rsidR="00D438C6" w:rsidRPr="00CC06BC" w:rsidRDefault="00D438C6" w:rsidP="00D438C6">
            <w:pPr>
              <w:rPr>
                <w:b/>
                <w:color w:val="FFFFFF" w:themeColor="background1"/>
                <w:sz w:val="20"/>
                <w:szCs w:val="20"/>
              </w:rPr>
            </w:pPr>
            <w:r>
              <w:rPr>
                <w:b/>
                <w:color w:val="FFFFFF" w:themeColor="background1"/>
                <w:sz w:val="20"/>
                <w:szCs w:val="20"/>
              </w:rPr>
              <w:t>UC-4</w:t>
            </w:r>
            <w:r w:rsidRPr="00CC06BC">
              <w:rPr>
                <w:b/>
                <w:color w:val="FFFFFF" w:themeColor="background1"/>
                <w:sz w:val="20"/>
                <w:szCs w:val="20"/>
              </w:rPr>
              <w:t xml:space="preserve">: </w:t>
            </w:r>
            <w:r>
              <w:rPr>
                <w:b/>
                <w:color w:val="FFFFFF" w:themeColor="background1"/>
                <w:sz w:val="20"/>
                <w:szCs w:val="20"/>
              </w:rPr>
              <w:t>Employment Application Transmission from Job Seeker to Company through Job Search Portal</w:t>
            </w:r>
          </w:p>
        </w:tc>
      </w:tr>
      <w:tr w:rsidR="00D438C6" w14:paraId="4937638E" w14:textId="77777777" w:rsidTr="00E056C9">
        <w:tc>
          <w:tcPr>
            <w:tcW w:w="1548" w:type="dxa"/>
          </w:tcPr>
          <w:p w14:paraId="63599411" w14:textId="77777777" w:rsidR="00D438C6" w:rsidRPr="00CC06BC" w:rsidRDefault="00D438C6" w:rsidP="00E056C9">
            <w:pPr>
              <w:rPr>
                <w:sz w:val="20"/>
                <w:szCs w:val="20"/>
              </w:rPr>
            </w:pPr>
            <w:r w:rsidRPr="00CC06BC">
              <w:rPr>
                <w:sz w:val="20"/>
                <w:szCs w:val="20"/>
              </w:rPr>
              <w:t>Summary</w:t>
            </w:r>
          </w:p>
        </w:tc>
        <w:tc>
          <w:tcPr>
            <w:tcW w:w="7812" w:type="dxa"/>
          </w:tcPr>
          <w:p w14:paraId="7E922F8E" w14:textId="77777777" w:rsidR="00D438C6" w:rsidRPr="00CC06BC" w:rsidRDefault="00D438C6" w:rsidP="00E056C9">
            <w:pPr>
              <w:rPr>
                <w:sz w:val="20"/>
                <w:szCs w:val="20"/>
              </w:rPr>
            </w:pPr>
            <w:r w:rsidRPr="00CC06BC">
              <w:rPr>
                <w:rFonts w:ascii="Calibri" w:eastAsia="Times New Roman" w:hAnsi="Calibri" w:cs="Times New Roman"/>
                <w:color w:val="000000"/>
                <w:sz w:val="20"/>
                <w:szCs w:val="20"/>
              </w:rPr>
              <w:t>Brief description of the use case</w:t>
            </w:r>
          </w:p>
        </w:tc>
      </w:tr>
      <w:tr w:rsidR="00D438C6" w14:paraId="61D4E186" w14:textId="77777777" w:rsidTr="00E056C9">
        <w:tc>
          <w:tcPr>
            <w:tcW w:w="1548" w:type="dxa"/>
          </w:tcPr>
          <w:p w14:paraId="6CF319EC" w14:textId="77777777" w:rsidR="00D438C6" w:rsidRPr="00CC06BC" w:rsidRDefault="00D438C6" w:rsidP="00E056C9">
            <w:pPr>
              <w:rPr>
                <w:sz w:val="20"/>
                <w:szCs w:val="20"/>
              </w:rPr>
            </w:pPr>
            <w:r w:rsidRPr="00CC06BC">
              <w:rPr>
                <w:sz w:val="20"/>
                <w:szCs w:val="20"/>
              </w:rPr>
              <w:t>Rationale</w:t>
            </w:r>
          </w:p>
        </w:tc>
        <w:tc>
          <w:tcPr>
            <w:tcW w:w="7812" w:type="dxa"/>
          </w:tcPr>
          <w:p w14:paraId="45365CAF" w14:textId="77777777" w:rsidR="00D438C6" w:rsidRDefault="00D438C6" w:rsidP="00E056C9">
            <w:pPr>
              <w:rPr>
                <w:sz w:val="20"/>
                <w:szCs w:val="20"/>
              </w:rPr>
            </w:pPr>
          </w:p>
          <w:p w14:paraId="518E796B" w14:textId="77777777" w:rsidR="00D438C6" w:rsidRPr="00CC06BC" w:rsidRDefault="00D438C6" w:rsidP="00E056C9">
            <w:pPr>
              <w:rPr>
                <w:sz w:val="20"/>
                <w:szCs w:val="20"/>
              </w:rPr>
            </w:pPr>
          </w:p>
        </w:tc>
      </w:tr>
      <w:tr w:rsidR="00D438C6" w14:paraId="0AEAACB9" w14:textId="77777777" w:rsidTr="00E056C9">
        <w:tc>
          <w:tcPr>
            <w:tcW w:w="1548" w:type="dxa"/>
          </w:tcPr>
          <w:p w14:paraId="3EDCC1D9" w14:textId="77777777" w:rsidR="00D438C6" w:rsidRPr="00CC06BC" w:rsidRDefault="00D438C6" w:rsidP="00E056C9">
            <w:pPr>
              <w:rPr>
                <w:sz w:val="20"/>
                <w:szCs w:val="20"/>
              </w:rPr>
            </w:pPr>
            <w:r w:rsidRPr="00CC06BC">
              <w:rPr>
                <w:sz w:val="20"/>
                <w:szCs w:val="20"/>
              </w:rPr>
              <w:t>Users</w:t>
            </w:r>
          </w:p>
        </w:tc>
        <w:tc>
          <w:tcPr>
            <w:tcW w:w="7812" w:type="dxa"/>
          </w:tcPr>
          <w:p w14:paraId="36057873" w14:textId="77777777" w:rsidR="00D438C6" w:rsidRPr="00CC06BC" w:rsidRDefault="00D438C6" w:rsidP="00E056C9">
            <w:pPr>
              <w:rPr>
                <w:sz w:val="20"/>
                <w:szCs w:val="20"/>
              </w:rPr>
            </w:pPr>
            <w:r w:rsidRPr="00CC06BC">
              <w:rPr>
                <w:rFonts w:ascii="Calibri" w:eastAsia="Times New Roman" w:hAnsi="Calibri" w:cs="Times New Roman"/>
                <w:color w:val="000000"/>
                <w:sz w:val="20"/>
                <w:szCs w:val="20"/>
              </w:rPr>
              <w:t xml:space="preserve">A list of all </w:t>
            </w:r>
            <w:r>
              <w:rPr>
                <w:rFonts w:ascii="Calibri" w:eastAsia="Times New Roman" w:hAnsi="Calibri" w:cs="Times New Roman"/>
                <w:color w:val="000000"/>
                <w:sz w:val="20"/>
                <w:szCs w:val="20"/>
              </w:rPr>
              <w:t>user roles</w:t>
            </w:r>
            <w:r w:rsidRPr="00CC06BC">
              <w:rPr>
                <w:rFonts w:ascii="Calibri" w:eastAsia="Times New Roman" w:hAnsi="Calibri" w:cs="Times New Roman"/>
                <w:color w:val="000000"/>
                <w:sz w:val="20"/>
                <w:szCs w:val="20"/>
              </w:rPr>
              <w:t xml:space="preserve"> that interact with this use case</w:t>
            </w:r>
          </w:p>
        </w:tc>
      </w:tr>
      <w:tr w:rsidR="00D438C6" w14:paraId="78FC8642" w14:textId="77777777" w:rsidTr="00E056C9">
        <w:tc>
          <w:tcPr>
            <w:tcW w:w="1548" w:type="dxa"/>
          </w:tcPr>
          <w:p w14:paraId="67F0D99F" w14:textId="77777777" w:rsidR="00D438C6" w:rsidRPr="00CC06BC" w:rsidRDefault="00D438C6" w:rsidP="00E056C9">
            <w:pPr>
              <w:rPr>
                <w:sz w:val="20"/>
                <w:szCs w:val="20"/>
              </w:rPr>
            </w:pPr>
            <w:r w:rsidRPr="00CC06BC">
              <w:rPr>
                <w:sz w:val="20"/>
                <w:szCs w:val="20"/>
              </w:rPr>
              <w:t>Preconditions</w:t>
            </w:r>
          </w:p>
        </w:tc>
        <w:tc>
          <w:tcPr>
            <w:tcW w:w="7812" w:type="dxa"/>
          </w:tcPr>
          <w:p w14:paraId="1DD98D3E" w14:textId="77777777" w:rsidR="00D438C6" w:rsidRDefault="00D438C6" w:rsidP="00E056C9">
            <w:pPr>
              <w:rPr>
                <w:rFonts w:ascii="Calibri" w:eastAsia="Times New Roman" w:hAnsi="Calibri" w:cs="Times New Roman"/>
                <w:color w:val="000000"/>
                <w:sz w:val="20"/>
                <w:szCs w:val="20"/>
              </w:rPr>
            </w:pPr>
            <w:r w:rsidRPr="00CC06BC">
              <w:rPr>
                <w:rFonts w:ascii="Calibri" w:eastAsia="Times New Roman" w:hAnsi="Calibri" w:cs="Times New Roman"/>
                <w:color w:val="000000"/>
                <w:sz w:val="20"/>
                <w:szCs w:val="20"/>
              </w:rPr>
              <w:t>The state of the software before the use case begins</w:t>
            </w:r>
          </w:p>
          <w:p w14:paraId="3E0C4D41" w14:textId="77777777" w:rsidR="00D438C6" w:rsidRPr="00CC06BC" w:rsidRDefault="00D438C6" w:rsidP="00E056C9">
            <w:pPr>
              <w:rPr>
                <w:sz w:val="20"/>
                <w:szCs w:val="20"/>
              </w:rPr>
            </w:pPr>
          </w:p>
        </w:tc>
      </w:tr>
      <w:tr w:rsidR="00D438C6" w14:paraId="67E6E92E" w14:textId="77777777" w:rsidTr="00E056C9">
        <w:tc>
          <w:tcPr>
            <w:tcW w:w="1548" w:type="dxa"/>
          </w:tcPr>
          <w:p w14:paraId="0AB79568" w14:textId="77777777" w:rsidR="00D438C6" w:rsidRPr="00CC06BC" w:rsidRDefault="00D438C6" w:rsidP="00E056C9">
            <w:pPr>
              <w:rPr>
                <w:sz w:val="20"/>
                <w:szCs w:val="20"/>
              </w:rPr>
            </w:pPr>
            <w:r w:rsidRPr="00CC06BC">
              <w:rPr>
                <w:sz w:val="20"/>
                <w:szCs w:val="20"/>
              </w:rPr>
              <w:t>Basic Course of Events</w:t>
            </w:r>
          </w:p>
        </w:tc>
        <w:tc>
          <w:tcPr>
            <w:tcW w:w="7812" w:type="dxa"/>
          </w:tcPr>
          <w:p w14:paraId="3FEB5AF9" w14:textId="77777777" w:rsidR="00D438C6" w:rsidRDefault="00D438C6" w:rsidP="00E056C9">
            <w:pPr>
              <w:rPr>
                <w:sz w:val="20"/>
                <w:szCs w:val="20"/>
              </w:rPr>
            </w:pPr>
            <w:r>
              <w:rPr>
                <w:sz w:val="20"/>
                <w:szCs w:val="20"/>
              </w:rPr>
              <w:t>A numbered list of interactions between the system and one or more users</w:t>
            </w:r>
          </w:p>
          <w:p w14:paraId="430DD208" w14:textId="77777777" w:rsidR="00D438C6" w:rsidRDefault="00D438C6" w:rsidP="00E056C9">
            <w:pPr>
              <w:pStyle w:val="ListParagraph"/>
              <w:numPr>
                <w:ilvl w:val="0"/>
                <w:numId w:val="3"/>
              </w:numPr>
              <w:rPr>
                <w:sz w:val="20"/>
                <w:szCs w:val="20"/>
              </w:rPr>
            </w:pPr>
            <w:r w:rsidRPr="002E736F">
              <w:rPr>
                <w:sz w:val="20"/>
                <w:szCs w:val="20"/>
              </w:rPr>
              <w:t>The user…</w:t>
            </w:r>
          </w:p>
          <w:p w14:paraId="043F5301" w14:textId="77777777" w:rsidR="00D438C6" w:rsidRDefault="00D438C6" w:rsidP="00E056C9">
            <w:pPr>
              <w:pStyle w:val="ListParagraph"/>
              <w:numPr>
                <w:ilvl w:val="0"/>
                <w:numId w:val="3"/>
              </w:numPr>
              <w:rPr>
                <w:sz w:val="20"/>
                <w:szCs w:val="20"/>
              </w:rPr>
            </w:pPr>
            <w:r w:rsidRPr="002E736F">
              <w:rPr>
                <w:sz w:val="20"/>
                <w:szCs w:val="20"/>
              </w:rPr>
              <w:t>The software…</w:t>
            </w:r>
          </w:p>
          <w:p w14:paraId="0C5FF587" w14:textId="77777777" w:rsidR="00D438C6" w:rsidRDefault="00D438C6" w:rsidP="00E056C9">
            <w:pPr>
              <w:pStyle w:val="ListParagraph"/>
              <w:numPr>
                <w:ilvl w:val="0"/>
                <w:numId w:val="3"/>
              </w:numPr>
              <w:rPr>
                <w:sz w:val="20"/>
                <w:szCs w:val="20"/>
              </w:rPr>
            </w:pPr>
            <w:r w:rsidRPr="002E736F">
              <w:rPr>
                <w:sz w:val="20"/>
                <w:szCs w:val="20"/>
              </w:rPr>
              <w:t>…</w:t>
            </w:r>
          </w:p>
          <w:p w14:paraId="585AFD4E" w14:textId="77777777" w:rsidR="00D438C6" w:rsidRPr="002E736F" w:rsidRDefault="00D438C6" w:rsidP="00E056C9">
            <w:pPr>
              <w:pStyle w:val="ListParagraph"/>
              <w:numPr>
                <w:ilvl w:val="0"/>
                <w:numId w:val="3"/>
              </w:numPr>
              <w:rPr>
                <w:sz w:val="20"/>
                <w:szCs w:val="20"/>
              </w:rPr>
            </w:pPr>
            <w:r w:rsidRPr="002E736F">
              <w:rPr>
                <w:sz w:val="20"/>
                <w:szCs w:val="20"/>
              </w:rPr>
              <w:t>…</w:t>
            </w:r>
          </w:p>
          <w:p w14:paraId="35B47B31" w14:textId="77777777" w:rsidR="00D438C6" w:rsidRPr="00CC06BC" w:rsidRDefault="00D438C6" w:rsidP="00E056C9">
            <w:pPr>
              <w:rPr>
                <w:sz w:val="20"/>
                <w:szCs w:val="20"/>
              </w:rPr>
            </w:pPr>
          </w:p>
        </w:tc>
      </w:tr>
      <w:tr w:rsidR="00D438C6" w14:paraId="222E3818" w14:textId="77777777" w:rsidTr="00E056C9">
        <w:tc>
          <w:tcPr>
            <w:tcW w:w="1548" w:type="dxa"/>
          </w:tcPr>
          <w:p w14:paraId="208C7682" w14:textId="77777777" w:rsidR="00D438C6" w:rsidRPr="00CC06BC" w:rsidRDefault="00D438C6" w:rsidP="00E056C9">
            <w:pPr>
              <w:rPr>
                <w:sz w:val="20"/>
                <w:szCs w:val="20"/>
              </w:rPr>
            </w:pPr>
            <w:r w:rsidRPr="00CC06BC">
              <w:rPr>
                <w:sz w:val="20"/>
                <w:szCs w:val="20"/>
              </w:rPr>
              <w:t>Alternative Paths</w:t>
            </w:r>
          </w:p>
        </w:tc>
        <w:tc>
          <w:tcPr>
            <w:tcW w:w="7812" w:type="dxa"/>
          </w:tcPr>
          <w:p w14:paraId="47AB292D" w14:textId="77777777" w:rsidR="00D438C6" w:rsidRDefault="00D438C6" w:rsidP="00E056C9">
            <w:pPr>
              <w:rPr>
                <w:sz w:val="20"/>
                <w:szCs w:val="20"/>
              </w:rPr>
            </w:pPr>
            <w:r>
              <w:rPr>
                <w:sz w:val="20"/>
                <w:szCs w:val="20"/>
              </w:rPr>
              <w:t>Conditions under which the basic course of events (above) could change</w:t>
            </w:r>
          </w:p>
          <w:p w14:paraId="0C5775EC" w14:textId="77777777" w:rsidR="00D438C6" w:rsidRPr="002E736F" w:rsidRDefault="00D438C6" w:rsidP="00E056C9">
            <w:pPr>
              <w:pStyle w:val="ListParagraph"/>
              <w:numPr>
                <w:ilvl w:val="0"/>
                <w:numId w:val="4"/>
              </w:numPr>
              <w:rPr>
                <w:sz w:val="20"/>
                <w:szCs w:val="20"/>
              </w:rPr>
            </w:pPr>
            <w:proofErr w:type="gramStart"/>
            <w:r w:rsidRPr="002E736F">
              <w:rPr>
                <w:sz w:val="20"/>
                <w:szCs w:val="20"/>
              </w:rPr>
              <w:t>If…,</w:t>
            </w:r>
            <w:proofErr w:type="gramEnd"/>
            <w:r w:rsidRPr="002E736F">
              <w:rPr>
                <w:sz w:val="20"/>
                <w:szCs w:val="20"/>
              </w:rPr>
              <w:t xml:space="preserve"> then…</w:t>
            </w:r>
          </w:p>
          <w:p w14:paraId="125398A8" w14:textId="77777777" w:rsidR="00D438C6" w:rsidRDefault="00D438C6" w:rsidP="00E056C9">
            <w:pPr>
              <w:pStyle w:val="ListParagraph"/>
              <w:numPr>
                <w:ilvl w:val="0"/>
                <w:numId w:val="4"/>
              </w:numPr>
              <w:rPr>
                <w:sz w:val="20"/>
                <w:szCs w:val="20"/>
              </w:rPr>
            </w:pPr>
            <w:r>
              <w:rPr>
                <w:sz w:val="20"/>
                <w:szCs w:val="20"/>
              </w:rPr>
              <w:t>…</w:t>
            </w:r>
          </w:p>
          <w:p w14:paraId="2C14282B" w14:textId="77777777" w:rsidR="00D438C6" w:rsidRPr="00D66CB7" w:rsidRDefault="00D438C6" w:rsidP="00E056C9">
            <w:pPr>
              <w:pStyle w:val="ListParagraph"/>
              <w:numPr>
                <w:ilvl w:val="0"/>
                <w:numId w:val="4"/>
              </w:numPr>
              <w:rPr>
                <w:sz w:val="20"/>
                <w:szCs w:val="20"/>
              </w:rPr>
            </w:pPr>
            <w:r>
              <w:rPr>
                <w:sz w:val="20"/>
                <w:szCs w:val="20"/>
              </w:rPr>
              <w:t>…</w:t>
            </w:r>
          </w:p>
          <w:p w14:paraId="1C55C9DF" w14:textId="77777777" w:rsidR="00D438C6" w:rsidRPr="00CC06BC" w:rsidRDefault="00D438C6" w:rsidP="00E056C9">
            <w:pPr>
              <w:rPr>
                <w:sz w:val="20"/>
                <w:szCs w:val="20"/>
              </w:rPr>
            </w:pPr>
          </w:p>
        </w:tc>
      </w:tr>
      <w:tr w:rsidR="00D438C6" w14:paraId="1D2DED3A" w14:textId="77777777" w:rsidTr="00E056C9">
        <w:tc>
          <w:tcPr>
            <w:tcW w:w="1548" w:type="dxa"/>
          </w:tcPr>
          <w:p w14:paraId="622AC084" w14:textId="77777777" w:rsidR="00D438C6" w:rsidRPr="00CC06BC" w:rsidRDefault="00D438C6" w:rsidP="00E056C9">
            <w:pPr>
              <w:rPr>
                <w:sz w:val="20"/>
                <w:szCs w:val="20"/>
              </w:rPr>
            </w:pPr>
            <w:proofErr w:type="spellStart"/>
            <w:r w:rsidRPr="00CC06BC">
              <w:rPr>
                <w:sz w:val="20"/>
                <w:szCs w:val="20"/>
              </w:rPr>
              <w:lastRenderedPageBreak/>
              <w:t>Postconditions</w:t>
            </w:r>
            <w:proofErr w:type="spellEnd"/>
          </w:p>
        </w:tc>
        <w:tc>
          <w:tcPr>
            <w:tcW w:w="7812" w:type="dxa"/>
          </w:tcPr>
          <w:p w14:paraId="1D2872F4" w14:textId="77777777" w:rsidR="00D438C6" w:rsidRDefault="00D438C6" w:rsidP="00E056C9">
            <w:pPr>
              <w:rPr>
                <w:rFonts w:ascii="Calibri" w:eastAsia="Times New Roman" w:hAnsi="Calibri" w:cs="Times New Roman"/>
                <w:color w:val="000000"/>
                <w:sz w:val="20"/>
                <w:szCs w:val="20"/>
              </w:rPr>
            </w:pPr>
            <w:r w:rsidRPr="00CC06BC">
              <w:rPr>
                <w:rFonts w:ascii="Calibri" w:eastAsia="Times New Roman" w:hAnsi="Calibri" w:cs="Times New Roman"/>
                <w:color w:val="000000"/>
                <w:sz w:val="20"/>
                <w:szCs w:val="20"/>
              </w:rPr>
              <w:t>The state of the software after the use case ends</w:t>
            </w:r>
          </w:p>
          <w:p w14:paraId="33CEBCCE" w14:textId="77777777" w:rsidR="00D438C6" w:rsidRPr="00CC06BC" w:rsidRDefault="00D438C6" w:rsidP="00E056C9">
            <w:pPr>
              <w:rPr>
                <w:sz w:val="20"/>
                <w:szCs w:val="20"/>
              </w:rPr>
            </w:pPr>
          </w:p>
        </w:tc>
      </w:tr>
      <w:tr w:rsidR="00D438C6" w14:paraId="4A036B83" w14:textId="77777777" w:rsidTr="00E056C9">
        <w:tc>
          <w:tcPr>
            <w:tcW w:w="1548" w:type="dxa"/>
          </w:tcPr>
          <w:p w14:paraId="05F27B01" w14:textId="77777777" w:rsidR="00D438C6" w:rsidRPr="00CC06BC" w:rsidRDefault="00D438C6" w:rsidP="00E056C9">
            <w:pPr>
              <w:rPr>
                <w:sz w:val="20"/>
                <w:szCs w:val="20"/>
              </w:rPr>
            </w:pPr>
            <w:r w:rsidRPr="00CC06BC">
              <w:rPr>
                <w:sz w:val="20"/>
                <w:szCs w:val="20"/>
              </w:rPr>
              <w:t>Related Documentation</w:t>
            </w:r>
          </w:p>
        </w:tc>
        <w:tc>
          <w:tcPr>
            <w:tcW w:w="7812" w:type="dxa"/>
          </w:tcPr>
          <w:p w14:paraId="426579EE" w14:textId="77777777" w:rsidR="00D438C6" w:rsidRPr="00CC06BC" w:rsidRDefault="00D438C6" w:rsidP="00E056C9">
            <w:pPr>
              <w:rPr>
                <w:sz w:val="20"/>
                <w:szCs w:val="20"/>
              </w:rPr>
            </w:pPr>
            <w:r>
              <w:rPr>
                <w:rFonts w:ascii="Calibri" w:eastAsia="Times New Roman" w:hAnsi="Calibri" w:cs="Times New Roman"/>
                <w:color w:val="000000"/>
                <w:sz w:val="20"/>
                <w:szCs w:val="20"/>
              </w:rPr>
              <w:t xml:space="preserve">Reference to any documentation </w:t>
            </w:r>
            <w:r w:rsidRPr="00CC06BC">
              <w:rPr>
                <w:rFonts w:ascii="Calibri" w:eastAsia="Times New Roman" w:hAnsi="Calibri" w:cs="Times New Roman"/>
                <w:color w:val="000000"/>
                <w:sz w:val="20"/>
                <w:szCs w:val="20"/>
              </w:rPr>
              <w:t>relevant to understanding this use case</w:t>
            </w:r>
            <w:r>
              <w:rPr>
                <w:rFonts w:ascii="Calibri" w:eastAsia="Times New Roman" w:hAnsi="Calibri" w:cs="Times New Roman"/>
                <w:color w:val="000000"/>
                <w:sz w:val="20"/>
                <w:szCs w:val="20"/>
              </w:rPr>
              <w:t xml:space="preserve"> (e.g</w:t>
            </w:r>
            <w:r w:rsidRPr="00CC06BC">
              <w:rPr>
                <w:rFonts w:ascii="Calibri" w:eastAsia="Times New Roman" w:hAnsi="Calibri" w:cs="Times New Roman"/>
                <w:color w:val="000000"/>
                <w:sz w:val="20"/>
                <w:szCs w:val="20"/>
              </w:rPr>
              <w:t>.</w:t>
            </w:r>
            <w:r>
              <w:rPr>
                <w:rFonts w:ascii="Calibri" w:eastAsia="Times New Roman" w:hAnsi="Calibri" w:cs="Times New Roman"/>
                <w:color w:val="000000"/>
                <w:sz w:val="20"/>
                <w:szCs w:val="20"/>
              </w:rPr>
              <w:t xml:space="preserve"> mock-ups, screenshots, personas, contractual line items etc.). </w:t>
            </w:r>
          </w:p>
        </w:tc>
      </w:tr>
    </w:tbl>
    <w:p w14:paraId="00406872" w14:textId="77777777" w:rsidR="00D438C6" w:rsidRDefault="00D438C6" w:rsidP="00D438C6"/>
    <w:p w14:paraId="41F38773" w14:textId="77777777" w:rsidR="009C7B6C" w:rsidRDefault="009C7B6C"/>
    <w:tbl>
      <w:tblPr>
        <w:tblStyle w:val="TableGrid"/>
        <w:tblW w:w="0" w:type="auto"/>
        <w:tblInd w:w="108" w:type="dxa"/>
        <w:tblLook w:val="04A0" w:firstRow="1" w:lastRow="0" w:firstColumn="1" w:lastColumn="0" w:noHBand="0" w:noVBand="1"/>
      </w:tblPr>
      <w:tblGrid>
        <w:gridCol w:w="1548"/>
        <w:gridCol w:w="7812"/>
      </w:tblGrid>
      <w:tr w:rsidR="009C7B6C" w14:paraId="67A59DAC" w14:textId="77777777" w:rsidTr="00F23377">
        <w:tc>
          <w:tcPr>
            <w:tcW w:w="1548" w:type="dxa"/>
            <w:shd w:val="clear" w:color="auto" w:fill="548DD4" w:themeFill="text2" w:themeFillTint="99"/>
          </w:tcPr>
          <w:p w14:paraId="36A01CCC" w14:textId="77777777" w:rsidR="009C7B6C" w:rsidRPr="00CC06BC" w:rsidRDefault="009C7B6C" w:rsidP="00E056C9">
            <w:pPr>
              <w:rPr>
                <w:b/>
                <w:color w:val="FFFFFF" w:themeColor="background1"/>
                <w:sz w:val="20"/>
                <w:szCs w:val="20"/>
              </w:rPr>
            </w:pPr>
            <w:r w:rsidRPr="00CC06BC">
              <w:rPr>
                <w:b/>
                <w:color w:val="FFFFFF" w:themeColor="background1"/>
                <w:sz w:val="20"/>
                <w:szCs w:val="20"/>
              </w:rPr>
              <w:t>Name</w:t>
            </w:r>
          </w:p>
        </w:tc>
        <w:tc>
          <w:tcPr>
            <w:tcW w:w="7812" w:type="dxa"/>
            <w:shd w:val="clear" w:color="auto" w:fill="548DD4" w:themeFill="text2" w:themeFillTint="99"/>
          </w:tcPr>
          <w:p w14:paraId="377D940E" w14:textId="77777777" w:rsidR="009C7B6C" w:rsidRPr="00CC06BC" w:rsidRDefault="00D438C6" w:rsidP="00D438C6">
            <w:pPr>
              <w:rPr>
                <w:b/>
                <w:color w:val="FFFFFF" w:themeColor="background1"/>
                <w:sz w:val="20"/>
                <w:szCs w:val="20"/>
              </w:rPr>
            </w:pPr>
            <w:r>
              <w:rPr>
                <w:b/>
                <w:color w:val="FFFFFF" w:themeColor="background1"/>
                <w:sz w:val="20"/>
                <w:szCs w:val="20"/>
              </w:rPr>
              <w:t>UC-5</w:t>
            </w:r>
            <w:r w:rsidR="009C7B6C" w:rsidRPr="00CC06BC">
              <w:rPr>
                <w:b/>
                <w:color w:val="FFFFFF" w:themeColor="background1"/>
                <w:sz w:val="20"/>
                <w:szCs w:val="20"/>
              </w:rPr>
              <w:t xml:space="preserve">: </w:t>
            </w:r>
            <w:r>
              <w:rPr>
                <w:b/>
                <w:color w:val="FFFFFF" w:themeColor="background1"/>
                <w:sz w:val="20"/>
                <w:szCs w:val="20"/>
              </w:rPr>
              <w:t>Scholarship Application from Student to Scholarship Agency through Financial Aid Portal</w:t>
            </w:r>
          </w:p>
        </w:tc>
      </w:tr>
      <w:tr w:rsidR="009C7B6C" w14:paraId="5D3461E5" w14:textId="77777777" w:rsidTr="00F23377">
        <w:tc>
          <w:tcPr>
            <w:tcW w:w="1548" w:type="dxa"/>
          </w:tcPr>
          <w:p w14:paraId="579EBF5A" w14:textId="77777777" w:rsidR="009C7B6C" w:rsidRPr="00CC06BC" w:rsidRDefault="009C7B6C" w:rsidP="00E056C9">
            <w:pPr>
              <w:rPr>
                <w:sz w:val="20"/>
                <w:szCs w:val="20"/>
              </w:rPr>
            </w:pPr>
            <w:r w:rsidRPr="00CC06BC">
              <w:rPr>
                <w:sz w:val="20"/>
                <w:szCs w:val="20"/>
              </w:rPr>
              <w:t>Summary</w:t>
            </w:r>
          </w:p>
        </w:tc>
        <w:tc>
          <w:tcPr>
            <w:tcW w:w="7812" w:type="dxa"/>
          </w:tcPr>
          <w:p w14:paraId="001FC0CE" w14:textId="77777777" w:rsidR="009C7B6C" w:rsidRPr="00CC06BC" w:rsidRDefault="009C7B6C" w:rsidP="00E056C9">
            <w:pPr>
              <w:rPr>
                <w:sz w:val="20"/>
                <w:szCs w:val="20"/>
              </w:rPr>
            </w:pPr>
            <w:r w:rsidRPr="00CC06BC">
              <w:rPr>
                <w:rFonts w:ascii="Calibri" w:eastAsia="Times New Roman" w:hAnsi="Calibri" w:cs="Times New Roman"/>
                <w:color w:val="000000"/>
                <w:sz w:val="20"/>
                <w:szCs w:val="20"/>
              </w:rPr>
              <w:t>Brief description of the use case</w:t>
            </w:r>
          </w:p>
        </w:tc>
      </w:tr>
      <w:tr w:rsidR="009C7B6C" w14:paraId="4EA819C5" w14:textId="77777777" w:rsidTr="00F23377">
        <w:tc>
          <w:tcPr>
            <w:tcW w:w="1548" w:type="dxa"/>
          </w:tcPr>
          <w:p w14:paraId="3D9C7DD6" w14:textId="77777777" w:rsidR="009C7B6C" w:rsidRPr="00CC06BC" w:rsidRDefault="009C7B6C" w:rsidP="00E056C9">
            <w:pPr>
              <w:rPr>
                <w:sz w:val="20"/>
                <w:szCs w:val="20"/>
              </w:rPr>
            </w:pPr>
            <w:r w:rsidRPr="00CC06BC">
              <w:rPr>
                <w:sz w:val="20"/>
                <w:szCs w:val="20"/>
              </w:rPr>
              <w:t>Rationale</w:t>
            </w:r>
          </w:p>
        </w:tc>
        <w:tc>
          <w:tcPr>
            <w:tcW w:w="7812" w:type="dxa"/>
          </w:tcPr>
          <w:p w14:paraId="37945555" w14:textId="77777777" w:rsidR="009C7B6C" w:rsidRDefault="009C7B6C" w:rsidP="00E056C9">
            <w:pPr>
              <w:rPr>
                <w:sz w:val="20"/>
                <w:szCs w:val="20"/>
              </w:rPr>
            </w:pPr>
          </w:p>
          <w:p w14:paraId="509A6882" w14:textId="77777777" w:rsidR="009C7B6C" w:rsidRPr="00CC06BC" w:rsidRDefault="009C7B6C" w:rsidP="00E056C9">
            <w:pPr>
              <w:rPr>
                <w:sz w:val="20"/>
                <w:szCs w:val="20"/>
              </w:rPr>
            </w:pPr>
          </w:p>
        </w:tc>
      </w:tr>
      <w:tr w:rsidR="009C7B6C" w14:paraId="66104C02" w14:textId="77777777" w:rsidTr="00F23377">
        <w:tc>
          <w:tcPr>
            <w:tcW w:w="1548" w:type="dxa"/>
          </w:tcPr>
          <w:p w14:paraId="21F16C8A" w14:textId="77777777" w:rsidR="009C7B6C" w:rsidRPr="00CC06BC" w:rsidRDefault="009C7B6C" w:rsidP="00E056C9">
            <w:pPr>
              <w:rPr>
                <w:sz w:val="20"/>
                <w:szCs w:val="20"/>
              </w:rPr>
            </w:pPr>
            <w:r w:rsidRPr="00CC06BC">
              <w:rPr>
                <w:sz w:val="20"/>
                <w:szCs w:val="20"/>
              </w:rPr>
              <w:t>Users</w:t>
            </w:r>
          </w:p>
        </w:tc>
        <w:tc>
          <w:tcPr>
            <w:tcW w:w="7812" w:type="dxa"/>
          </w:tcPr>
          <w:p w14:paraId="45DDB908" w14:textId="77777777" w:rsidR="009C7B6C" w:rsidRPr="00CC06BC" w:rsidRDefault="009C7B6C" w:rsidP="00E056C9">
            <w:pPr>
              <w:rPr>
                <w:sz w:val="20"/>
                <w:szCs w:val="20"/>
              </w:rPr>
            </w:pPr>
            <w:r w:rsidRPr="00CC06BC">
              <w:rPr>
                <w:rFonts w:ascii="Calibri" w:eastAsia="Times New Roman" w:hAnsi="Calibri" w:cs="Times New Roman"/>
                <w:color w:val="000000"/>
                <w:sz w:val="20"/>
                <w:szCs w:val="20"/>
              </w:rPr>
              <w:t xml:space="preserve">A list of all </w:t>
            </w:r>
            <w:r>
              <w:rPr>
                <w:rFonts w:ascii="Calibri" w:eastAsia="Times New Roman" w:hAnsi="Calibri" w:cs="Times New Roman"/>
                <w:color w:val="000000"/>
                <w:sz w:val="20"/>
                <w:szCs w:val="20"/>
              </w:rPr>
              <w:t>user roles</w:t>
            </w:r>
            <w:r w:rsidRPr="00CC06BC">
              <w:rPr>
                <w:rFonts w:ascii="Calibri" w:eastAsia="Times New Roman" w:hAnsi="Calibri" w:cs="Times New Roman"/>
                <w:color w:val="000000"/>
                <w:sz w:val="20"/>
                <w:szCs w:val="20"/>
              </w:rPr>
              <w:t xml:space="preserve"> that interact with this use case</w:t>
            </w:r>
          </w:p>
        </w:tc>
      </w:tr>
      <w:tr w:rsidR="009C7B6C" w14:paraId="09811630" w14:textId="77777777" w:rsidTr="00F23377">
        <w:tc>
          <w:tcPr>
            <w:tcW w:w="1548" w:type="dxa"/>
          </w:tcPr>
          <w:p w14:paraId="1A40DC58" w14:textId="77777777" w:rsidR="009C7B6C" w:rsidRPr="00CC06BC" w:rsidRDefault="009C7B6C" w:rsidP="00E056C9">
            <w:pPr>
              <w:rPr>
                <w:sz w:val="20"/>
                <w:szCs w:val="20"/>
              </w:rPr>
            </w:pPr>
            <w:r w:rsidRPr="00CC06BC">
              <w:rPr>
                <w:sz w:val="20"/>
                <w:szCs w:val="20"/>
              </w:rPr>
              <w:t>Preconditions</w:t>
            </w:r>
          </w:p>
        </w:tc>
        <w:tc>
          <w:tcPr>
            <w:tcW w:w="7812" w:type="dxa"/>
          </w:tcPr>
          <w:p w14:paraId="4551D9DC" w14:textId="77777777" w:rsidR="009C7B6C" w:rsidRDefault="009C7B6C" w:rsidP="00E056C9">
            <w:pPr>
              <w:rPr>
                <w:rFonts w:ascii="Calibri" w:eastAsia="Times New Roman" w:hAnsi="Calibri" w:cs="Times New Roman"/>
                <w:color w:val="000000"/>
                <w:sz w:val="20"/>
                <w:szCs w:val="20"/>
              </w:rPr>
            </w:pPr>
            <w:r w:rsidRPr="00CC06BC">
              <w:rPr>
                <w:rFonts w:ascii="Calibri" w:eastAsia="Times New Roman" w:hAnsi="Calibri" w:cs="Times New Roman"/>
                <w:color w:val="000000"/>
                <w:sz w:val="20"/>
                <w:szCs w:val="20"/>
              </w:rPr>
              <w:t>The state of the software before the use case begins</w:t>
            </w:r>
          </w:p>
          <w:p w14:paraId="701FA81B" w14:textId="77777777" w:rsidR="009C7B6C" w:rsidRPr="00CC06BC" w:rsidRDefault="009C7B6C" w:rsidP="00E056C9">
            <w:pPr>
              <w:rPr>
                <w:sz w:val="20"/>
                <w:szCs w:val="20"/>
              </w:rPr>
            </w:pPr>
          </w:p>
        </w:tc>
      </w:tr>
      <w:tr w:rsidR="009C7B6C" w14:paraId="65ABEA72" w14:textId="77777777" w:rsidTr="00F23377">
        <w:tc>
          <w:tcPr>
            <w:tcW w:w="1548" w:type="dxa"/>
          </w:tcPr>
          <w:p w14:paraId="383CE503" w14:textId="77777777" w:rsidR="009C7B6C" w:rsidRPr="00CC06BC" w:rsidRDefault="009C7B6C" w:rsidP="00E056C9">
            <w:pPr>
              <w:rPr>
                <w:sz w:val="20"/>
                <w:szCs w:val="20"/>
              </w:rPr>
            </w:pPr>
            <w:r w:rsidRPr="00CC06BC">
              <w:rPr>
                <w:sz w:val="20"/>
                <w:szCs w:val="20"/>
              </w:rPr>
              <w:t>Basic Course of Events</w:t>
            </w:r>
          </w:p>
        </w:tc>
        <w:tc>
          <w:tcPr>
            <w:tcW w:w="7812" w:type="dxa"/>
          </w:tcPr>
          <w:p w14:paraId="132A7910" w14:textId="77777777" w:rsidR="009C7B6C" w:rsidRDefault="009C7B6C" w:rsidP="00E056C9">
            <w:pPr>
              <w:rPr>
                <w:sz w:val="20"/>
                <w:szCs w:val="20"/>
              </w:rPr>
            </w:pPr>
            <w:r>
              <w:rPr>
                <w:sz w:val="20"/>
                <w:szCs w:val="20"/>
              </w:rPr>
              <w:t>A numbered list of interactions between the system and one or more users</w:t>
            </w:r>
          </w:p>
          <w:p w14:paraId="5F730D8A" w14:textId="77777777" w:rsidR="002E736F" w:rsidRDefault="009C7B6C" w:rsidP="002E736F">
            <w:pPr>
              <w:pStyle w:val="ListParagraph"/>
              <w:numPr>
                <w:ilvl w:val="0"/>
                <w:numId w:val="3"/>
              </w:numPr>
              <w:rPr>
                <w:sz w:val="20"/>
                <w:szCs w:val="20"/>
              </w:rPr>
            </w:pPr>
            <w:r w:rsidRPr="002E736F">
              <w:rPr>
                <w:sz w:val="20"/>
                <w:szCs w:val="20"/>
              </w:rPr>
              <w:t>The user…</w:t>
            </w:r>
          </w:p>
          <w:p w14:paraId="5BDB3FD9" w14:textId="77777777" w:rsidR="002E736F" w:rsidRDefault="009C7B6C" w:rsidP="002E736F">
            <w:pPr>
              <w:pStyle w:val="ListParagraph"/>
              <w:numPr>
                <w:ilvl w:val="0"/>
                <w:numId w:val="3"/>
              </w:numPr>
              <w:rPr>
                <w:sz w:val="20"/>
                <w:szCs w:val="20"/>
              </w:rPr>
            </w:pPr>
            <w:r w:rsidRPr="002E736F">
              <w:rPr>
                <w:sz w:val="20"/>
                <w:szCs w:val="20"/>
              </w:rPr>
              <w:t>The software…</w:t>
            </w:r>
          </w:p>
          <w:p w14:paraId="052D4413" w14:textId="77777777" w:rsidR="002E736F" w:rsidRDefault="009C7B6C" w:rsidP="002E736F">
            <w:pPr>
              <w:pStyle w:val="ListParagraph"/>
              <w:numPr>
                <w:ilvl w:val="0"/>
                <w:numId w:val="3"/>
              </w:numPr>
              <w:rPr>
                <w:sz w:val="20"/>
                <w:szCs w:val="20"/>
              </w:rPr>
            </w:pPr>
            <w:r w:rsidRPr="002E736F">
              <w:rPr>
                <w:sz w:val="20"/>
                <w:szCs w:val="20"/>
              </w:rPr>
              <w:t>…</w:t>
            </w:r>
          </w:p>
          <w:p w14:paraId="34993105" w14:textId="77777777" w:rsidR="009C7B6C" w:rsidRPr="002E736F" w:rsidRDefault="009C7B6C" w:rsidP="002E736F">
            <w:pPr>
              <w:pStyle w:val="ListParagraph"/>
              <w:numPr>
                <w:ilvl w:val="0"/>
                <w:numId w:val="3"/>
              </w:numPr>
              <w:rPr>
                <w:sz w:val="20"/>
                <w:szCs w:val="20"/>
              </w:rPr>
            </w:pPr>
            <w:r w:rsidRPr="002E736F">
              <w:rPr>
                <w:sz w:val="20"/>
                <w:szCs w:val="20"/>
              </w:rPr>
              <w:t>…</w:t>
            </w:r>
          </w:p>
          <w:p w14:paraId="73FA556B" w14:textId="77777777" w:rsidR="009C7B6C" w:rsidRPr="00CC06BC" w:rsidRDefault="009C7B6C" w:rsidP="00E056C9">
            <w:pPr>
              <w:rPr>
                <w:sz w:val="20"/>
                <w:szCs w:val="20"/>
              </w:rPr>
            </w:pPr>
          </w:p>
        </w:tc>
      </w:tr>
      <w:tr w:rsidR="009C7B6C" w14:paraId="4A14B595" w14:textId="77777777" w:rsidTr="00F23377">
        <w:tc>
          <w:tcPr>
            <w:tcW w:w="1548" w:type="dxa"/>
          </w:tcPr>
          <w:p w14:paraId="0F4E0BEE" w14:textId="77777777" w:rsidR="009C7B6C" w:rsidRPr="00CC06BC" w:rsidRDefault="009C7B6C" w:rsidP="00E056C9">
            <w:pPr>
              <w:rPr>
                <w:sz w:val="20"/>
                <w:szCs w:val="20"/>
              </w:rPr>
            </w:pPr>
            <w:r w:rsidRPr="00CC06BC">
              <w:rPr>
                <w:sz w:val="20"/>
                <w:szCs w:val="20"/>
              </w:rPr>
              <w:t>Alternative Paths</w:t>
            </w:r>
          </w:p>
        </w:tc>
        <w:tc>
          <w:tcPr>
            <w:tcW w:w="7812" w:type="dxa"/>
          </w:tcPr>
          <w:p w14:paraId="402C6E3F" w14:textId="77777777" w:rsidR="009C7B6C" w:rsidRDefault="009C7B6C" w:rsidP="00E056C9">
            <w:pPr>
              <w:rPr>
                <w:sz w:val="20"/>
                <w:szCs w:val="20"/>
              </w:rPr>
            </w:pPr>
            <w:r>
              <w:rPr>
                <w:sz w:val="20"/>
                <w:szCs w:val="20"/>
              </w:rPr>
              <w:t>Conditions under which the basic course of events (above) could change</w:t>
            </w:r>
          </w:p>
          <w:p w14:paraId="038E36FD" w14:textId="77777777" w:rsidR="009C7B6C" w:rsidRPr="002E736F" w:rsidRDefault="009C7B6C" w:rsidP="002E736F">
            <w:pPr>
              <w:pStyle w:val="ListParagraph"/>
              <w:numPr>
                <w:ilvl w:val="0"/>
                <w:numId w:val="4"/>
              </w:numPr>
              <w:rPr>
                <w:sz w:val="20"/>
                <w:szCs w:val="20"/>
              </w:rPr>
            </w:pPr>
            <w:r w:rsidRPr="002E736F">
              <w:rPr>
                <w:sz w:val="20"/>
                <w:szCs w:val="20"/>
              </w:rPr>
              <w:t>If…, then…</w:t>
            </w:r>
          </w:p>
          <w:p w14:paraId="01E0420F" w14:textId="77777777" w:rsidR="009C7B6C" w:rsidRDefault="009C7B6C" w:rsidP="002E736F">
            <w:pPr>
              <w:pStyle w:val="ListParagraph"/>
              <w:numPr>
                <w:ilvl w:val="0"/>
                <w:numId w:val="4"/>
              </w:numPr>
              <w:rPr>
                <w:sz w:val="20"/>
                <w:szCs w:val="20"/>
              </w:rPr>
            </w:pPr>
            <w:r>
              <w:rPr>
                <w:sz w:val="20"/>
                <w:szCs w:val="20"/>
              </w:rPr>
              <w:t>…</w:t>
            </w:r>
          </w:p>
          <w:p w14:paraId="1352EB21" w14:textId="77777777" w:rsidR="009C7B6C" w:rsidRPr="00D66CB7" w:rsidRDefault="009C7B6C" w:rsidP="00E056C9">
            <w:pPr>
              <w:pStyle w:val="ListParagraph"/>
              <w:numPr>
                <w:ilvl w:val="0"/>
                <w:numId w:val="4"/>
              </w:numPr>
              <w:rPr>
                <w:sz w:val="20"/>
                <w:szCs w:val="20"/>
              </w:rPr>
            </w:pPr>
            <w:r>
              <w:rPr>
                <w:sz w:val="20"/>
                <w:szCs w:val="20"/>
              </w:rPr>
              <w:t>…</w:t>
            </w:r>
          </w:p>
          <w:p w14:paraId="6F1314E0" w14:textId="77777777" w:rsidR="009C7B6C" w:rsidRPr="00CC06BC" w:rsidRDefault="009C7B6C" w:rsidP="00E056C9">
            <w:pPr>
              <w:rPr>
                <w:sz w:val="20"/>
                <w:szCs w:val="20"/>
              </w:rPr>
            </w:pPr>
          </w:p>
        </w:tc>
      </w:tr>
      <w:tr w:rsidR="009C7B6C" w14:paraId="4B7DFDF7" w14:textId="77777777" w:rsidTr="00F23377">
        <w:tc>
          <w:tcPr>
            <w:tcW w:w="1548" w:type="dxa"/>
          </w:tcPr>
          <w:p w14:paraId="1786F7AA" w14:textId="77777777" w:rsidR="009C7B6C" w:rsidRPr="00CC06BC" w:rsidRDefault="009C7B6C" w:rsidP="00E056C9">
            <w:pPr>
              <w:rPr>
                <w:sz w:val="20"/>
                <w:szCs w:val="20"/>
              </w:rPr>
            </w:pPr>
            <w:proofErr w:type="spellStart"/>
            <w:r w:rsidRPr="00CC06BC">
              <w:rPr>
                <w:sz w:val="20"/>
                <w:szCs w:val="20"/>
              </w:rPr>
              <w:t>Postconditions</w:t>
            </w:r>
            <w:proofErr w:type="spellEnd"/>
          </w:p>
        </w:tc>
        <w:tc>
          <w:tcPr>
            <w:tcW w:w="7812" w:type="dxa"/>
          </w:tcPr>
          <w:p w14:paraId="2FD7E2C4" w14:textId="77777777" w:rsidR="009C7B6C" w:rsidRDefault="009C7B6C" w:rsidP="00E056C9">
            <w:pPr>
              <w:rPr>
                <w:rFonts w:ascii="Calibri" w:eastAsia="Times New Roman" w:hAnsi="Calibri" w:cs="Times New Roman"/>
                <w:color w:val="000000"/>
                <w:sz w:val="20"/>
                <w:szCs w:val="20"/>
              </w:rPr>
            </w:pPr>
            <w:r w:rsidRPr="00CC06BC">
              <w:rPr>
                <w:rFonts w:ascii="Calibri" w:eastAsia="Times New Roman" w:hAnsi="Calibri" w:cs="Times New Roman"/>
                <w:color w:val="000000"/>
                <w:sz w:val="20"/>
                <w:szCs w:val="20"/>
              </w:rPr>
              <w:t>The state of the software after the use case ends</w:t>
            </w:r>
          </w:p>
          <w:p w14:paraId="082340EA" w14:textId="77777777" w:rsidR="009C7B6C" w:rsidRPr="00CC06BC" w:rsidRDefault="009C7B6C" w:rsidP="00E056C9">
            <w:pPr>
              <w:rPr>
                <w:sz w:val="20"/>
                <w:szCs w:val="20"/>
              </w:rPr>
            </w:pPr>
          </w:p>
        </w:tc>
      </w:tr>
      <w:tr w:rsidR="009C7B6C" w14:paraId="2668F062" w14:textId="77777777" w:rsidTr="00F23377">
        <w:tc>
          <w:tcPr>
            <w:tcW w:w="1548" w:type="dxa"/>
          </w:tcPr>
          <w:p w14:paraId="3B84C5F8" w14:textId="77777777" w:rsidR="009C7B6C" w:rsidRPr="00CC06BC" w:rsidRDefault="009C7B6C" w:rsidP="00E056C9">
            <w:pPr>
              <w:rPr>
                <w:sz w:val="20"/>
                <w:szCs w:val="20"/>
              </w:rPr>
            </w:pPr>
            <w:r w:rsidRPr="00CC06BC">
              <w:rPr>
                <w:sz w:val="20"/>
                <w:szCs w:val="20"/>
              </w:rPr>
              <w:t>Related Documentation</w:t>
            </w:r>
          </w:p>
        </w:tc>
        <w:tc>
          <w:tcPr>
            <w:tcW w:w="7812" w:type="dxa"/>
          </w:tcPr>
          <w:p w14:paraId="6FABA1BE" w14:textId="77777777" w:rsidR="009C7B6C" w:rsidRPr="00CC06BC" w:rsidRDefault="009C7B6C" w:rsidP="00E056C9">
            <w:pPr>
              <w:rPr>
                <w:sz w:val="20"/>
                <w:szCs w:val="20"/>
              </w:rPr>
            </w:pPr>
            <w:r>
              <w:rPr>
                <w:rFonts w:ascii="Calibri" w:eastAsia="Times New Roman" w:hAnsi="Calibri" w:cs="Times New Roman"/>
                <w:color w:val="000000"/>
                <w:sz w:val="20"/>
                <w:szCs w:val="20"/>
              </w:rPr>
              <w:t xml:space="preserve">Reference to any documentation </w:t>
            </w:r>
            <w:r w:rsidRPr="00CC06BC">
              <w:rPr>
                <w:rFonts w:ascii="Calibri" w:eastAsia="Times New Roman" w:hAnsi="Calibri" w:cs="Times New Roman"/>
                <w:color w:val="000000"/>
                <w:sz w:val="20"/>
                <w:szCs w:val="20"/>
              </w:rPr>
              <w:t>relevant to understanding this use case</w:t>
            </w:r>
            <w:r>
              <w:rPr>
                <w:rFonts w:ascii="Calibri" w:eastAsia="Times New Roman" w:hAnsi="Calibri" w:cs="Times New Roman"/>
                <w:color w:val="000000"/>
                <w:sz w:val="20"/>
                <w:szCs w:val="20"/>
              </w:rPr>
              <w:t xml:space="preserve"> (e.g</w:t>
            </w:r>
            <w:r w:rsidRPr="00CC06BC">
              <w:rPr>
                <w:rFonts w:ascii="Calibri" w:eastAsia="Times New Roman" w:hAnsi="Calibri" w:cs="Times New Roman"/>
                <w:color w:val="000000"/>
                <w:sz w:val="20"/>
                <w:szCs w:val="20"/>
              </w:rPr>
              <w:t>.</w:t>
            </w:r>
            <w:r>
              <w:rPr>
                <w:rFonts w:ascii="Calibri" w:eastAsia="Times New Roman" w:hAnsi="Calibri" w:cs="Times New Roman"/>
                <w:color w:val="000000"/>
                <w:sz w:val="20"/>
                <w:szCs w:val="20"/>
              </w:rPr>
              <w:t xml:space="preserve"> mock-ups, screenshots, personas, contractual line items etc.). </w:t>
            </w:r>
          </w:p>
        </w:tc>
      </w:tr>
    </w:tbl>
    <w:p w14:paraId="22DAAAE8" w14:textId="77777777" w:rsidR="00D66CB7" w:rsidRPr="00D66CB7" w:rsidRDefault="00D66CB7" w:rsidP="00D438C6">
      <w:pPr>
        <w:rPr>
          <w:b/>
        </w:rPr>
      </w:pPr>
    </w:p>
    <w:sectPr w:rsidR="00D66CB7" w:rsidRPr="00D66CB7" w:rsidSect="003964E7">
      <w:headerReference w:type="default" r:id="rId11"/>
      <w:footerReference w:type="default" r:id="rId12"/>
      <w:pgSz w:w="12240" w:h="15840"/>
      <w:pgMar w:top="1350" w:right="1440" w:bottom="1260" w:left="1440" w:header="432" w:footer="432"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57EAC5" w14:textId="77777777" w:rsidR="00C34C93" w:rsidRDefault="00C34C93" w:rsidP="009C7B6C">
      <w:pPr>
        <w:spacing w:after="0" w:line="240" w:lineRule="auto"/>
      </w:pPr>
      <w:r>
        <w:separator/>
      </w:r>
    </w:p>
  </w:endnote>
  <w:endnote w:type="continuationSeparator" w:id="0">
    <w:p w14:paraId="24BA3798" w14:textId="77777777" w:rsidR="00C34C93" w:rsidRDefault="00C34C93" w:rsidP="009C7B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08610799"/>
      <w:docPartObj>
        <w:docPartGallery w:val="Page Numbers (Bottom of Page)"/>
        <w:docPartUnique/>
      </w:docPartObj>
    </w:sdtPr>
    <w:sdtContent>
      <w:p w14:paraId="51EFF4B1" w14:textId="77777777" w:rsidR="00C34C93" w:rsidRDefault="00C34C93">
        <w:pPr>
          <w:pStyle w:val="Footer"/>
          <w:jc w:val="right"/>
        </w:pPr>
        <w:r>
          <w:fldChar w:fldCharType="begin"/>
        </w:r>
        <w:r>
          <w:instrText xml:space="preserve"> PAGE   \* MERGEFORMAT </w:instrText>
        </w:r>
        <w:r>
          <w:fldChar w:fldCharType="separate"/>
        </w:r>
        <w:r w:rsidR="00086B6C">
          <w:rPr>
            <w:noProof/>
          </w:rPr>
          <w:t>3</w:t>
        </w:r>
        <w:r>
          <w:rPr>
            <w:noProof/>
          </w:rPr>
          <w:fldChar w:fldCharType="end"/>
        </w:r>
      </w:p>
    </w:sdtContent>
  </w:sdt>
  <w:p w14:paraId="7D8B0A0E" w14:textId="77777777" w:rsidR="00C34C93" w:rsidRDefault="00C34C9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DB4ED0" w14:textId="77777777" w:rsidR="00C34C93" w:rsidRDefault="00C34C93" w:rsidP="009C7B6C">
      <w:pPr>
        <w:spacing w:after="0" w:line="240" w:lineRule="auto"/>
      </w:pPr>
      <w:r>
        <w:separator/>
      </w:r>
    </w:p>
  </w:footnote>
  <w:footnote w:type="continuationSeparator" w:id="0">
    <w:p w14:paraId="09A15B79" w14:textId="77777777" w:rsidR="00C34C93" w:rsidRDefault="00C34C93" w:rsidP="009C7B6C">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1004A0" w14:textId="77777777" w:rsidR="00C34C93" w:rsidRPr="00772ABB" w:rsidRDefault="00C34C93" w:rsidP="009C7B6C">
    <w:pPr>
      <w:pStyle w:val="Header"/>
      <w:rPr>
        <w:sz w:val="20"/>
        <w:szCs w:val="20"/>
      </w:rPr>
    </w:pPr>
    <w:r>
      <w:rPr>
        <w:sz w:val="20"/>
        <w:szCs w:val="20"/>
      </w:rPr>
      <w:t>Requirement Title:  Common Data Services Use Cases</w:t>
    </w:r>
    <w:r>
      <w:rPr>
        <w:sz w:val="20"/>
        <w:szCs w:val="20"/>
      </w:rPr>
      <w:tab/>
    </w:r>
    <w:r>
      <w:rPr>
        <w:sz w:val="20"/>
        <w:szCs w:val="20"/>
      </w:rPr>
      <w:tab/>
      <w:t>Author Name:  Jeffrey Alderson</w:t>
    </w:r>
  </w:p>
  <w:p w14:paraId="738E29FD" w14:textId="77777777" w:rsidR="00C34C93" w:rsidRPr="009C7B6C" w:rsidRDefault="00C34C93">
    <w:pPr>
      <w:pStyle w:val="Header"/>
      <w:rPr>
        <w:sz w:val="20"/>
        <w:szCs w:val="20"/>
      </w:rPr>
    </w:pPr>
    <w:r>
      <w:rPr>
        <w:sz w:val="20"/>
        <w:szCs w:val="20"/>
      </w:rPr>
      <w:t>Product Owner: PESC Common Data Services Task Force</w:t>
    </w:r>
    <w:r>
      <w:rPr>
        <w:sz w:val="20"/>
        <w:szCs w:val="20"/>
      </w:rPr>
      <w:tab/>
    </w:r>
    <w:r>
      <w:rPr>
        <w:sz w:val="20"/>
        <w:szCs w:val="20"/>
      </w:rPr>
      <w:tab/>
    </w:r>
    <w:r w:rsidRPr="009C7B6C">
      <w:rPr>
        <w:sz w:val="20"/>
        <w:szCs w:val="20"/>
      </w:rPr>
      <w:t>Author</w:t>
    </w:r>
    <w:r>
      <w:t xml:space="preserve"> Email:  jalderson@connectedu.com</w:t>
    </w:r>
    <w:r>
      <w:rPr>
        <w:sz w:val="20"/>
        <w:szCs w:val="20"/>
      </w:rP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BD2AEE"/>
    <w:multiLevelType w:val="hybridMultilevel"/>
    <w:tmpl w:val="5218B3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B63B71"/>
    <w:multiLevelType w:val="hybridMultilevel"/>
    <w:tmpl w:val="F99C7A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AB5BE8"/>
    <w:multiLevelType w:val="hybridMultilevel"/>
    <w:tmpl w:val="4FE0B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2A6645"/>
    <w:multiLevelType w:val="hybridMultilevel"/>
    <w:tmpl w:val="63B224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5C32EEE"/>
    <w:multiLevelType w:val="hybridMultilevel"/>
    <w:tmpl w:val="2D84A308"/>
    <w:lvl w:ilvl="0" w:tplc="E80A6D5E">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5E0B3E"/>
    <w:multiLevelType w:val="hybridMultilevel"/>
    <w:tmpl w:val="6616D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8456047"/>
    <w:multiLevelType w:val="hybridMultilevel"/>
    <w:tmpl w:val="8E221F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9C00746"/>
    <w:multiLevelType w:val="hybridMultilevel"/>
    <w:tmpl w:val="4FE0B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6"/>
  </w:num>
  <w:num w:numId="5">
    <w:abstractNumId w:val="5"/>
  </w:num>
  <w:num w:numId="6">
    <w:abstractNumId w:val="1"/>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7"/>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06BC"/>
    <w:rsid w:val="00086B6C"/>
    <w:rsid w:val="00230BB0"/>
    <w:rsid w:val="00273236"/>
    <w:rsid w:val="002E736F"/>
    <w:rsid w:val="0037554E"/>
    <w:rsid w:val="003964E7"/>
    <w:rsid w:val="003F3BF4"/>
    <w:rsid w:val="004C4CC7"/>
    <w:rsid w:val="00516F8E"/>
    <w:rsid w:val="00590B71"/>
    <w:rsid w:val="005F776C"/>
    <w:rsid w:val="006D63BB"/>
    <w:rsid w:val="007505BC"/>
    <w:rsid w:val="00852BFD"/>
    <w:rsid w:val="00911B3F"/>
    <w:rsid w:val="0092362D"/>
    <w:rsid w:val="009C7B6C"/>
    <w:rsid w:val="00C02F16"/>
    <w:rsid w:val="00C07D7B"/>
    <w:rsid w:val="00C34C93"/>
    <w:rsid w:val="00CB4A2D"/>
    <w:rsid w:val="00CC06BC"/>
    <w:rsid w:val="00D438C6"/>
    <w:rsid w:val="00D66CB7"/>
    <w:rsid w:val="00E056C9"/>
    <w:rsid w:val="00E45A44"/>
    <w:rsid w:val="00EC391B"/>
    <w:rsid w:val="00F23377"/>
    <w:rsid w:val="00F65D12"/>
    <w:rsid w:val="00F70A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DE60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4A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C06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C06BC"/>
    <w:pPr>
      <w:ind w:left="720"/>
      <w:contextualSpacing/>
    </w:pPr>
  </w:style>
  <w:style w:type="paragraph" w:styleId="Header">
    <w:name w:val="header"/>
    <w:basedOn w:val="Normal"/>
    <w:link w:val="HeaderChar"/>
    <w:uiPriority w:val="99"/>
    <w:unhideWhenUsed/>
    <w:rsid w:val="009C7B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7B6C"/>
  </w:style>
  <w:style w:type="paragraph" w:styleId="Footer">
    <w:name w:val="footer"/>
    <w:basedOn w:val="Normal"/>
    <w:link w:val="FooterChar"/>
    <w:uiPriority w:val="99"/>
    <w:unhideWhenUsed/>
    <w:rsid w:val="009C7B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7B6C"/>
  </w:style>
  <w:style w:type="character" w:styleId="Hyperlink">
    <w:name w:val="Hyperlink"/>
    <w:basedOn w:val="DefaultParagraphFont"/>
    <w:uiPriority w:val="99"/>
    <w:unhideWhenUsed/>
    <w:rsid w:val="009C7B6C"/>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4A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C06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C06BC"/>
    <w:pPr>
      <w:ind w:left="720"/>
      <w:contextualSpacing/>
    </w:pPr>
  </w:style>
  <w:style w:type="paragraph" w:styleId="Header">
    <w:name w:val="header"/>
    <w:basedOn w:val="Normal"/>
    <w:link w:val="HeaderChar"/>
    <w:uiPriority w:val="99"/>
    <w:unhideWhenUsed/>
    <w:rsid w:val="009C7B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7B6C"/>
  </w:style>
  <w:style w:type="paragraph" w:styleId="Footer">
    <w:name w:val="footer"/>
    <w:basedOn w:val="Normal"/>
    <w:link w:val="FooterChar"/>
    <w:uiPriority w:val="99"/>
    <w:unhideWhenUsed/>
    <w:rsid w:val="009C7B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7B6C"/>
  </w:style>
  <w:style w:type="character" w:styleId="Hyperlink">
    <w:name w:val="Hyperlink"/>
    <w:basedOn w:val="DefaultParagraphFont"/>
    <w:uiPriority w:val="99"/>
    <w:unhideWhenUsed/>
    <w:rsid w:val="009C7B6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0369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6AB2C33797448438CE363E016B8D9C8" ma:contentTypeVersion="1" ma:contentTypeDescription="Create a new document." ma:contentTypeScope="" ma:versionID="a763e031dc3d3f6bcc7a47de2b2d3fe5">
  <xsd:schema xmlns:xsd="http://www.w3.org/2001/XMLSchema" xmlns:p="http://schemas.microsoft.com/office/2006/metadata/properties" targetNamespace="http://schemas.microsoft.com/office/2006/metadata/properties" ma:root="true" ma:fieldsID="53762acbdaf9120ae801ee5f4c1d197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2FC4377-56E3-4886-B7B1-5718B4CB38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5A2FD38F-EE6C-4486-B448-16CBF63D9240}">
  <ds:schemaRefs>
    <ds:schemaRef ds:uri="http://schemas.microsoft.com/office/2006/metadata/properties"/>
  </ds:schemaRefs>
</ds:datastoreItem>
</file>

<file path=customXml/itemProps3.xml><?xml version="1.0" encoding="utf-8"?>
<ds:datastoreItem xmlns:ds="http://schemas.openxmlformats.org/officeDocument/2006/customXml" ds:itemID="{2500CA52-C6F1-40CE-890B-13431FEC8FF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4</Pages>
  <Words>1365</Words>
  <Characters>7784</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Morrison</dc:creator>
  <cp:lastModifiedBy>Jeffrey Alderson</cp:lastModifiedBy>
  <cp:revision>8</cp:revision>
  <dcterms:created xsi:type="dcterms:W3CDTF">2011-11-08T01:36:00Z</dcterms:created>
  <dcterms:modified xsi:type="dcterms:W3CDTF">2011-11-08T02:16:00Z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0x010100C6AB2C33797448438CE363E016B8D9C8</vt:lpwstr>
  </property>
</Properties>
</file>