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B6C" w:rsidRPr="002E736F" w:rsidRDefault="002E736F" w:rsidP="002E736F">
      <w:pPr>
        <w:spacing w:after="0"/>
        <w:rPr>
          <w:b/>
        </w:rPr>
      </w:pPr>
      <w:r w:rsidRPr="002E736F">
        <w:rPr>
          <w:b/>
        </w:rPr>
        <w:t>Use Cases:</w:t>
      </w:r>
    </w:p>
    <w:p w:rsidR="009C7B6C" w:rsidRDefault="009B493B">
      <w:r>
        <w:t xml:space="preserve">These use cases are based on the template and samples provided by </w:t>
      </w:r>
      <w:proofErr w:type="spellStart"/>
      <w:r>
        <w:t>ConnectEdu</w:t>
      </w:r>
      <w:proofErr w:type="spellEnd"/>
      <w:r>
        <w:t xml:space="preserve">.  </w:t>
      </w:r>
      <w:proofErr w:type="gramStart"/>
      <w:r>
        <w:t>However in this exercise I ‘generalized’ a case to be payload agnostic.</w:t>
      </w:r>
      <w:proofErr w:type="gramEnd"/>
      <w:r>
        <w:t xml:space="preserve">  With this first</w:t>
      </w:r>
      <w:r w:rsidR="00B018F7">
        <w:t xml:space="preserve"> use case </w:t>
      </w:r>
      <w:r>
        <w:t xml:space="preserve">I attempted </w:t>
      </w:r>
      <w:r w:rsidR="000D6AC8">
        <w:t>a very simple</w:t>
      </w:r>
      <w:r>
        <w:t xml:space="preserve"> scenario.   More complex scenarios are listed under ‘Alternate Paths’.</w:t>
      </w:r>
    </w:p>
    <w:tbl>
      <w:tblPr>
        <w:tblStyle w:val="TableGrid"/>
        <w:tblW w:w="0" w:type="auto"/>
        <w:tblInd w:w="108" w:type="dxa"/>
        <w:tblLook w:val="04A0"/>
      </w:tblPr>
      <w:tblGrid>
        <w:gridCol w:w="1548"/>
        <w:gridCol w:w="7812"/>
      </w:tblGrid>
      <w:tr w:rsidR="009C7B6C" w:rsidTr="00F23377">
        <w:tc>
          <w:tcPr>
            <w:tcW w:w="1548" w:type="dxa"/>
            <w:shd w:val="clear" w:color="auto" w:fill="548DD4" w:themeFill="text2" w:themeFillTint="99"/>
          </w:tcPr>
          <w:p w:rsidR="009C7B6C" w:rsidRPr="00CC06BC" w:rsidRDefault="009C7B6C" w:rsidP="00E056C9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CC06BC">
              <w:rPr>
                <w:b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7812" w:type="dxa"/>
            <w:shd w:val="clear" w:color="auto" w:fill="548DD4" w:themeFill="text2" w:themeFillTint="99"/>
          </w:tcPr>
          <w:p w:rsidR="009C7B6C" w:rsidRPr="00CC06BC" w:rsidRDefault="009C7B6C" w:rsidP="009B493B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UC-1</w:t>
            </w:r>
            <w:r w:rsidR="00D438C6">
              <w:rPr>
                <w:b/>
                <w:color w:val="FFFFFF" w:themeColor="background1"/>
                <w:sz w:val="20"/>
                <w:szCs w:val="20"/>
              </w:rPr>
              <w:t xml:space="preserve">: </w:t>
            </w:r>
            <w:r w:rsidR="00412919">
              <w:rPr>
                <w:b/>
                <w:color w:val="FFFFFF" w:themeColor="background1"/>
                <w:sz w:val="20"/>
                <w:szCs w:val="20"/>
              </w:rPr>
              <w:t>Transaction</w:t>
            </w:r>
            <w:r w:rsidR="00D438C6">
              <w:rPr>
                <w:b/>
                <w:color w:val="FFFFFF" w:themeColor="background1"/>
                <w:sz w:val="20"/>
                <w:szCs w:val="20"/>
              </w:rPr>
              <w:t xml:space="preserve"> Exchange</w:t>
            </w:r>
            <w:r w:rsidR="00533272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D438C6">
              <w:rPr>
                <w:b/>
                <w:color w:val="FFFFFF" w:themeColor="background1"/>
                <w:sz w:val="20"/>
                <w:szCs w:val="20"/>
              </w:rPr>
              <w:t xml:space="preserve">Between </w:t>
            </w:r>
            <w:r w:rsidR="009B493B">
              <w:rPr>
                <w:b/>
                <w:color w:val="FFFFFF" w:themeColor="background1"/>
                <w:sz w:val="20"/>
                <w:szCs w:val="20"/>
              </w:rPr>
              <w:t>Two</w:t>
            </w:r>
            <w:r w:rsidR="00412919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533272">
              <w:rPr>
                <w:b/>
                <w:color w:val="FFFFFF" w:themeColor="background1"/>
                <w:sz w:val="20"/>
                <w:szCs w:val="20"/>
              </w:rPr>
              <w:t xml:space="preserve">Clients of </w:t>
            </w:r>
            <w:r w:rsidR="00412919">
              <w:rPr>
                <w:b/>
                <w:color w:val="FFFFFF" w:themeColor="background1"/>
                <w:sz w:val="20"/>
                <w:szCs w:val="20"/>
              </w:rPr>
              <w:t xml:space="preserve">Different </w:t>
            </w:r>
            <w:r w:rsidR="00D438C6">
              <w:rPr>
                <w:b/>
                <w:color w:val="FFFFFF" w:themeColor="background1"/>
                <w:sz w:val="20"/>
                <w:szCs w:val="20"/>
              </w:rPr>
              <w:t>Vendor-based Service Providers</w:t>
            </w:r>
            <w:r w:rsidR="007610E7">
              <w:rPr>
                <w:b/>
                <w:color w:val="FFFFFF" w:themeColor="background1"/>
                <w:sz w:val="20"/>
                <w:szCs w:val="20"/>
              </w:rPr>
              <w:t xml:space="preserve"> – </w:t>
            </w:r>
            <w:r w:rsidR="009B493B">
              <w:rPr>
                <w:b/>
                <w:color w:val="FFFFFF" w:themeColor="background1"/>
                <w:sz w:val="20"/>
                <w:szCs w:val="20"/>
              </w:rPr>
              <w:t>There Are N</w:t>
            </w:r>
            <w:r w:rsidR="007610E7">
              <w:rPr>
                <w:b/>
                <w:color w:val="FFFFFF" w:themeColor="background1"/>
                <w:sz w:val="20"/>
                <w:szCs w:val="20"/>
              </w:rPr>
              <w:t xml:space="preserve">o </w:t>
            </w:r>
            <w:r w:rsidR="009B493B">
              <w:rPr>
                <w:b/>
                <w:color w:val="FFFFFF" w:themeColor="background1"/>
                <w:sz w:val="20"/>
                <w:szCs w:val="20"/>
              </w:rPr>
              <w:t>T</w:t>
            </w:r>
            <w:r w:rsidR="007610E7">
              <w:rPr>
                <w:b/>
                <w:color w:val="FFFFFF" w:themeColor="background1"/>
                <w:sz w:val="20"/>
                <w:szCs w:val="20"/>
              </w:rPr>
              <w:t xml:space="preserve">ransaction </w:t>
            </w:r>
            <w:r w:rsidR="009B493B">
              <w:rPr>
                <w:b/>
                <w:color w:val="FFFFFF" w:themeColor="background1"/>
                <w:sz w:val="20"/>
                <w:szCs w:val="20"/>
              </w:rPr>
              <w:t>F</w:t>
            </w:r>
            <w:r w:rsidR="007610E7">
              <w:rPr>
                <w:b/>
                <w:color w:val="FFFFFF" w:themeColor="background1"/>
                <w:sz w:val="20"/>
                <w:szCs w:val="20"/>
              </w:rPr>
              <w:t>ee</w:t>
            </w:r>
            <w:r w:rsidR="009B493B">
              <w:rPr>
                <w:b/>
                <w:color w:val="FFFFFF" w:themeColor="background1"/>
                <w:sz w:val="20"/>
                <w:szCs w:val="20"/>
              </w:rPr>
              <w:t xml:space="preserve"> Dependencies</w:t>
            </w:r>
          </w:p>
        </w:tc>
      </w:tr>
      <w:tr w:rsidR="009C7B6C" w:rsidTr="00F23377">
        <w:tc>
          <w:tcPr>
            <w:tcW w:w="1548" w:type="dxa"/>
          </w:tcPr>
          <w:p w:rsidR="009C7B6C" w:rsidRPr="00CC06BC" w:rsidRDefault="009C7B6C" w:rsidP="00E056C9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Summary</w:t>
            </w:r>
          </w:p>
        </w:tc>
        <w:tc>
          <w:tcPr>
            <w:tcW w:w="7812" w:type="dxa"/>
          </w:tcPr>
          <w:p w:rsidR="009C7B6C" w:rsidRPr="00CC06BC" w:rsidRDefault="00E056C9" w:rsidP="000E6517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This use case describes the movement of </w:t>
            </w:r>
            <w:r w:rsidR="005332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 payload (electronic document) between two clients supported by different vendor-based service providers</w:t>
            </w:r>
            <w:r w:rsidR="000E651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The </w:t>
            </w:r>
            <w:r w:rsidR="005332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payload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is arbitrary, and not relevant to the </w:t>
            </w:r>
            <w:r w:rsidR="005332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transmission process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  <w:r w:rsidR="003E33DB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There are not transaction fees or else they do not need to be addressed within the CDS exchange.</w:t>
            </w:r>
          </w:p>
        </w:tc>
      </w:tr>
      <w:tr w:rsidR="009C7B6C" w:rsidTr="00F23377">
        <w:tc>
          <w:tcPr>
            <w:tcW w:w="1548" w:type="dxa"/>
          </w:tcPr>
          <w:p w:rsidR="009C7B6C" w:rsidRPr="00CC06BC" w:rsidRDefault="009C7B6C" w:rsidP="00E056C9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Rationale</w:t>
            </w:r>
          </w:p>
        </w:tc>
        <w:tc>
          <w:tcPr>
            <w:tcW w:w="7812" w:type="dxa"/>
          </w:tcPr>
          <w:p w:rsidR="00D66CB7" w:rsidRPr="00CC06BC" w:rsidRDefault="009B493B" w:rsidP="003E33DB">
            <w:pPr>
              <w:jc w:val="both"/>
              <w:rPr>
                <w:sz w:val="20"/>
                <w:szCs w:val="20"/>
              </w:rPr>
            </w:pPr>
            <w:r w:rsidRPr="009B493B">
              <w:rPr>
                <w:sz w:val="20"/>
                <w:szCs w:val="20"/>
              </w:rPr>
              <w:t xml:space="preserve">This is </w:t>
            </w:r>
            <w:r w:rsidRPr="003E33DB">
              <w:rPr>
                <w:i/>
                <w:sz w:val="20"/>
                <w:szCs w:val="20"/>
              </w:rPr>
              <w:t>(almost)</w:t>
            </w:r>
            <w:r w:rsidRPr="009B493B">
              <w:rPr>
                <w:sz w:val="20"/>
                <w:szCs w:val="20"/>
              </w:rPr>
              <w:t xml:space="preserve"> the s</w:t>
            </w:r>
            <w:r w:rsidR="00B018F7" w:rsidRPr="009B493B">
              <w:rPr>
                <w:sz w:val="20"/>
                <w:szCs w:val="20"/>
              </w:rPr>
              <w:t>implest case for a</w:t>
            </w:r>
            <w:r w:rsidR="007505BC" w:rsidRPr="009B493B">
              <w:rPr>
                <w:sz w:val="20"/>
                <w:szCs w:val="20"/>
              </w:rPr>
              <w:t xml:space="preserve">utomated exchange </w:t>
            </w:r>
            <w:r w:rsidR="00B018F7" w:rsidRPr="009B493B">
              <w:rPr>
                <w:sz w:val="20"/>
                <w:szCs w:val="20"/>
              </w:rPr>
              <w:t xml:space="preserve">- </w:t>
            </w:r>
            <w:r w:rsidR="007505BC" w:rsidRPr="009B493B">
              <w:rPr>
                <w:sz w:val="20"/>
                <w:szCs w:val="20"/>
              </w:rPr>
              <w:t xml:space="preserve">between service providers acting on behalf of </w:t>
            </w:r>
            <w:r w:rsidR="00B018F7" w:rsidRPr="009B493B">
              <w:rPr>
                <w:sz w:val="20"/>
                <w:szCs w:val="20"/>
              </w:rPr>
              <w:t>single</w:t>
            </w:r>
            <w:r w:rsidR="007505BC" w:rsidRPr="009B493B">
              <w:rPr>
                <w:sz w:val="20"/>
                <w:szCs w:val="20"/>
              </w:rPr>
              <w:t xml:space="preserve"> sender and </w:t>
            </w:r>
            <w:r w:rsidR="00B018F7" w:rsidRPr="009B493B">
              <w:rPr>
                <w:sz w:val="20"/>
                <w:szCs w:val="20"/>
              </w:rPr>
              <w:t xml:space="preserve">single </w:t>
            </w:r>
            <w:r w:rsidR="007505BC" w:rsidRPr="009B493B">
              <w:rPr>
                <w:sz w:val="20"/>
                <w:szCs w:val="20"/>
              </w:rPr>
              <w:t>recipient</w:t>
            </w:r>
            <w:r w:rsidR="00B018F7" w:rsidRPr="009B493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0D6AC8">
              <w:rPr>
                <w:i/>
                <w:sz w:val="20"/>
                <w:szCs w:val="20"/>
              </w:rPr>
              <w:t>(A simpler would be between two clients supported by the same vendor host.)</w:t>
            </w:r>
          </w:p>
        </w:tc>
      </w:tr>
      <w:tr w:rsidR="009C7B6C" w:rsidTr="00F23377">
        <w:tc>
          <w:tcPr>
            <w:tcW w:w="1548" w:type="dxa"/>
          </w:tcPr>
          <w:p w:rsidR="009C7B6C" w:rsidRPr="00CC06BC" w:rsidRDefault="009C7B6C" w:rsidP="00E056C9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Users</w:t>
            </w:r>
          </w:p>
        </w:tc>
        <w:tc>
          <w:tcPr>
            <w:tcW w:w="7812" w:type="dxa"/>
          </w:tcPr>
          <w:p w:rsidR="009C7B6C" w:rsidRPr="00CC06BC" w:rsidRDefault="00533272" w:rsidP="007610E7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Any </w:t>
            </w:r>
            <w:r w:rsidR="007610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front-end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service that is a client of a </w:t>
            </w:r>
            <w:r w:rsidR="007610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PESC-compliant CDS Server </w:t>
            </w:r>
          </w:p>
        </w:tc>
      </w:tr>
      <w:tr w:rsidR="009C7B6C" w:rsidTr="00F23377">
        <w:tc>
          <w:tcPr>
            <w:tcW w:w="1548" w:type="dxa"/>
          </w:tcPr>
          <w:p w:rsidR="009C7B6C" w:rsidRPr="00CC06BC" w:rsidRDefault="009C7B6C" w:rsidP="00E056C9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Preconditions</w:t>
            </w:r>
          </w:p>
        </w:tc>
        <w:tc>
          <w:tcPr>
            <w:tcW w:w="7812" w:type="dxa"/>
          </w:tcPr>
          <w:p w:rsidR="009C7B6C" w:rsidRPr="00E056C9" w:rsidRDefault="00E056C9" w:rsidP="007610E7">
            <w:pPr>
              <w:pStyle w:val="ListParagraph"/>
              <w:numPr>
                <w:ilvl w:val="0"/>
                <w:numId w:val="7"/>
              </w:numPr>
              <w:ind w:left="234" w:hanging="234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E056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Sending </w:t>
            </w:r>
            <w:r w:rsidR="0041291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client </w:t>
            </w:r>
            <w:r w:rsidRPr="00E056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service has </w:t>
            </w:r>
            <w:r w:rsidR="007610E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formatted</w:t>
            </w:r>
            <w:r w:rsidRPr="00E056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  <w:r w:rsidR="00533272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the payload and envelope </w:t>
            </w:r>
            <w:r w:rsidRPr="00E056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 a supported PESC format.</w:t>
            </w:r>
          </w:p>
          <w:p w:rsidR="009C7B6C" w:rsidRDefault="00533272" w:rsidP="007610E7">
            <w:pPr>
              <w:pStyle w:val="ListParagraph"/>
              <w:numPr>
                <w:ilvl w:val="0"/>
                <w:numId w:val="7"/>
              </w:numPr>
              <w:ind w:left="234" w:hanging="234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Sending and Receiving CDS servers have complied with CDS registration requirements</w:t>
            </w:r>
          </w:p>
          <w:p w:rsidR="00B018F7" w:rsidRPr="00533272" w:rsidRDefault="00B018F7" w:rsidP="007610E7">
            <w:pPr>
              <w:pStyle w:val="ListParagraph"/>
              <w:numPr>
                <w:ilvl w:val="0"/>
                <w:numId w:val="7"/>
              </w:numPr>
              <w:ind w:left="234" w:hanging="234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FERPA requirements have been met.</w:t>
            </w:r>
          </w:p>
        </w:tc>
      </w:tr>
      <w:tr w:rsidR="009C7B6C" w:rsidTr="00F23377">
        <w:tc>
          <w:tcPr>
            <w:tcW w:w="1548" w:type="dxa"/>
          </w:tcPr>
          <w:p w:rsidR="009C7B6C" w:rsidRPr="00CC06BC" w:rsidRDefault="009C7B6C" w:rsidP="00E056C9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Basic Course of Events</w:t>
            </w:r>
          </w:p>
        </w:tc>
        <w:tc>
          <w:tcPr>
            <w:tcW w:w="7812" w:type="dxa"/>
          </w:tcPr>
          <w:p w:rsidR="009C7B6C" w:rsidRDefault="007610E7" w:rsidP="00E056C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front-end service submits a transmission package</w:t>
            </w:r>
            <w:r w:rsidR="009B493B">
              <w:rPr>
                <w:sz w:val="20"/>
                <w:szCs w:val="20"/>
              </w:rPr>
              <w:t xml:space="preserve"> (envelope </w:t>
            </w:r>
            <w:r>
              <w:rPr>
                <w:sz w:val="20"/>
                <w:szCs w:val="20"/>
              </w:rPr>
              <w:t>and payload) to its host (sending) CDS server.</w:t>
            </w:r>
          </w:p>
          <w:p w:rsidR="009C7B6C" w:rsidRDefault="00412919" w:rsidP="00E056C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7610E7">
              <w:rPr>
                <w:sz w:val="20"/>
                <w:szCs w:val="20"/>
              </w:rPr>
              <w:t>he sending CDS server identifies the transmission target</w:t>
            </w:r>
          </w:p>
          <w:p w:rsidR="009C7B6C" w:rsidRDefault="007610E7" w:rsidP="00E056C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sending CDS server identifies </w:t>
            </w:r>
            <w:r w:rsidR="009B493B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CDS host</w:t>
            </w:r>
            <w:r w:rsidR="009B49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for the transmission target</w:t>
            </w:r>
          </w:p>
          <w:p w:rsidR="00852BFD" w:rsidRDefault="000E6517" w:rsidP="00E056C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="00852BFD">
              <w:rPr>
                <w:sz w:val="20"/>
                <w:szCs w:val="20"/>
              </w:rPr>
              <w:t xml:space="preserve"> sending </w:t>
            </w:r>
            <w:r w:rsidR="00412919">
              <w:rPr>
                <w:sz w:val="20"/>
                <w:szCs w:val="20"/>
              </w:rPr>
              <w:t>CDS</w:t>
            </w:r>
            <w:r w:rsidR="00852BFD">
              <w:rPr>
                <w:sz w:val="20"/>
                <w:szCs w:val="20"/>
              </w:rPr>
              <w:t xml:space="preserve"> opens a connection</w:t>
            </w:r>
            <w:r>
              <w:rPr>
                <w:sz w:val="20"/>
                <w:szCs w:val="20"/>
              </w:rPr>
              <w:t xml:space="preserve"> </w:t>
            </w:r>
            <w:r w:rsidR="00852BFD">
              <w:rPr>
                <w:sz w:val="20"/>
                <w:szCs w:val="20"/>
              </w:rPr>
              <w:t xml:space="preserve">to the correct recipient </w:t>
            </w:r>
            <w:r w:rsidR="00412919">
              <w:rPr>
                <w:sz w:val="20"/>
                <w:szCs w:val="20"/>
              </w:rPr>
              <w:t>CDS</w:t>
            </w:r>
            <w:r>
              <w:rPr>
                <w:sz w:val="20"/>
                <w:szCs w:val="20"/>
              </w:rPr>
              <w:t xml:space="preserve"> and delivers the transaction.</w:t>
            </w:r>
          </w:p>
          <w:p w:rsidR="009C7B6C" w:rsidRPr="00B018F7" w:rsidRDefault="00852BFD" w:rsidP="00E056C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412919">
              <w:rPr>
                <w:sz w:val="20"/>
                <w:szCs w:val="20"/>
              </w:rPr>
              <w:t xml:space="preserve">receiving CDS </w:t>
            </w:r>
            <w:r w:rsidR="000E6517">
              <w:rPr>
                <w:sz w:val="20"/>
                <w:szCs w:val="20"/>
              </w:rPr>
              <w:t>provides</w:t>
            </w:r>
            <w:r w:rsidR="00B018F7">
              <w:rPr>
                <w:sz w:val="20"/>
                <w:szCs w:val="20"/>
              </w:rPr>
              <w:t xml:space="preserve"> (forwards?)</w:t>
            </w:r>
            <w:r>
              <w:rPr>
                <w:sz w:val="20"/>
                <w:szCs w:val="20"/>
              </w:rPr>
              <w:t xml:space="preserve"> tracking information and </w:t>
            </w:r>
            <w:r w:rsidR="00412919">
              <w:rPr>
                <w:sz w:val="20"/>
                <w:szCs w:val="20"/>
              </w:rPr>
              <w:t>delivery confirmation</w:t>
            </w:r>
            <w:r>
              <w:rPr>
                <w:sz w:val="20"/>
                <w:szCs w:val="20"/>
              </w:rPr>
              <w:t>.</w:t>
            </w:r>
          </w:p>
        </w:tc>
      </w:tr>
      <w:tr w:rsidR="009C7B6C" w:rsidTr="00F23377">
        <w:tc>
          <w:tcPr>
            <w:tcW w:w="1548" w:type="dxa"/>
          </w:tcPr>
          <w:p w:rsidR="009C7B6C" w:rsidRPr="00CC06BC" w:rsidRDefault="009C7B6C" w:rsidP="00E056C9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Alternative Paths</w:t>
            </w:r>
          </w:p>
        </w:tc>
        <w:tc>
          <w:tcPr>
            <w:tcW w:w="7812" w:type="dxa"/>
          </w:tcPr>
          <w:p w:rsidR="009C7B6C" w:rsidRDefault="009C7B6C" w:rsidP="00E05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Conditions under which the basic course of events (above) could change</w:t>
            </w:r>
            <w:r w:rsidR="00B018F7">
              <w:rPr>
                <w:sz w:val="20"/>
                <w:szCs w:val="20"/>
              </w:rPr>
              <w:t>:</w:t>
            </w:r>
          </w:p>
          <w:p w:rsidR="000E6517" w:rsidRDefault="000E6517" w:rsidP="00E056C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Package received by sending CDS is </w:t>
            </w:r>
            <w:proofErr w:type="spellStart"/>
            <w:r>
              <w:rPr>
                <w:sz w:val="20"/>
                <w:szCs w:val="20"/>
              </w:rPr>
              <w:t>mis</w:t>
            </w:r>
            <w:proofErr w:type="spellEnd"/>
            <w:r>
              <w:rPr>
                <w:sz w:val="20"/>
                <w:szCs w:val="20"/>
              </w:rPr>
              <w:t>-configured</w:t>
            </w:r>
            <w:r w:rsidR="00B018F7">
              <w:rPr>
                <w:sz w:val="20"/>
                <w:szCs w:val="20"/>
              </w:rPr>
              <w:t>.</w:t>
            </w:r>
          </w:p>
          <w:p w:rsidR="000E6517" w:rsidRDefault="000E6517" w:rsidP="00E056C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CDS host for the target client cannot be </w:t>
            </w:r>
            <w:r w:rsidR="00B018F7">
              <w:rPr>
                <w:sz w:val="20"/>
                <w:szCs w:val="20"/>
              </w:rPr>
              <w:t>located.</w:t>
            </w:r>
          </w:p>
          <w:p w:rsidR="000E6517" w:rsidRDefault="000E6517" w:rsidP="00E056C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fees are involved that require user confirmation before processing.</w:t>
            </w:r>
          </w:p>
          <w:p w:rsidR="00972C0D" w:rsidRPr="00972C0D" w:rsidRDefault="00972C0D" w:rsidP="00B018F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72C0D">
              <w:rPr>
                <w:sz w:val="20"/>
                <w:szCs w:val="20"/>
              </w:rPr>
              <w:t>The source and destination clients are both supported by the same CDS host.</w:t>
            </w:r>
          </w:p>
          <w:p w:rsidR="00972C0D" w:rsidRPr="00972C0D" w:rsidRDefault="00B018F7" w:rsidP="00972C0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Transmission errors.</w:t>
            </w:r>
          </w:p>
        </w:tc>
      </w:tr>
      <w:tr w:rsidR="009C7B6C" w:rsidTr="00F23377">
        <w:tc>
          <w:tcPr>
            <w:tcW w:w="1548" w:type="dxa"/>
          </w:tcPr>
          <w:p w:rsidR="009C7B6C" w:rsidRPr="00CC06BC" w:rsidRDefault="009C7B6C" w:rsidP="00E056C9">
            <w:pPr>
              <w:rPr>
                <w:sz w:val="20"/>
                <w:szCs w:val="20"/>
              </w:rPr>
            </w:pPr>
            <w:proofErr w:type="spellStart"/>
            <w:r w:rsidRPr="00CC06BC">
              <w:rPr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7812" w:type="dxa"/>
          </w:tcPr>
          <w:p w:rsidR="009C7B6C" w:rsidRPr="00B018F7" w:rsidRDefault="00F65D12" w:rsidP="00E056C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Electronic transcripts are confirmed as received by recipient institutions and all users involved in the transmission and approval of the records have tracking information and confirmation of receipt.</w:t>
            </w:r>
          </w:p>
        </w:tc>
      </w:tr>
      <w:tr w:rsidR="009C7B6C" w:rsidTr="00F23377">
        <w:tc>
          <w:tcPr>
            <w:tcW w:w="1548" w:type="dxa"/>
          </w:tcPr>
          <w:p w:rsidR="009C7B6C" w:rsidRPr="00CC06BC" w:rsidRDefault="009C7B6C" w:rsidP="00E056C9">
            <w:pPr>
              <w:rPr>
                <w:sz w:val="20"/>
                <w:szCs w:val="20"/>
              </w:rPr>
            </w:pPr>
            <w:r w:rsidRPr="00CC06BC">
              <w:rPr>
                <w:sz w:val="20"/>
                <w:szCs w:val="20"/>
              </w:rPr>
              <w:t>Related Documentation</w:t>
            </w:r>
          </w:p>
        </w:tc>
        <w:tc>
          <w:tcPr>
            <w:tcW w:w="7812" w:type="dxa"/>
          </w:tcPr>
          <w:p w:rsidR="009C7B6C" w:rsidRPr="00CC06BC" w:rsidRDefault="007505BC" w:rsidP="00B018F7">
            <w:pPr>
              <w:rPr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Refer to transcript exchange workflow </w:t>
            </w:r>
            <w:r w:rsidR="00B018F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diagrams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D438C6" w:rsidRDefault="00D438C6" w:rsidP="00D438C6"/>
    <w:p w:rsidR="00D66CB7" w:rsidRPr="00D66CB7" w:rsidRDefault="00D66CB7" w:rsidP="00D438C6">
      <w:pPr>
        <w:rPr>
          <w:b/>
        </w:rPr>
      </w:pPr>
    </w:p>
    <w:sectPr w:rsidR="00D66CB7" w:rsidRPr="00D66CB7" w:rsidSect="003964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350" w:right="1440" w:bottom="1260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F6B" w:rsidRDefault="00FF7F6B" w:rsidP="009C7B6C">
      <w:pPr>
        <w:spacing w:after="0" w:line="240" w:lineRule="auto"/>
      </w:pPr>
      <w:r>
        <w:separator/>
      </w:r>
    </w:p>
  </w:endnote>
  <w:endnote w:type="continuationSeparator" w:id="0">
    <w:p w:rsidR="00FF7F6B" w:rsidRDefault="00FF7F6B" w:rsidP="009C7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54B" w:rsidRDefault="00A705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8610799"/>
      <w:docPartObj>
        <w:docPartGallery w:val="Page Numbers (Bottom of Page)"/>
        <w:docPartUnique/>
      </w:docPartObj>
    </w:sdtPr>
    <w:sdtContent>
      <w:p w:rsidR="009B493B" w:rsidRDefault="00602FB2">
        <w:pPr>
          <w:pStyle w:val="Footer"/>
          <w:jc w:val="right"/>
        </w:pPr>
        <w:fldSimple w:instr=" PAGE   \* MERGEFORMAT ">
          <w:r w:rsidR="00703FBD">
            <w:rPr>
              <w:noProof/>
            </w:rPr>
            <w:t>1</w:t>
          </w:r>
        </w:fldSimple>
      </w:p>
    </w:sdtContent>
  </w:sdt>
  <w:p w:rsidR="009B493B" w:rsidRDefault="009B49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54B" w:rsidRDefault="00A705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F6B" w:rsidRDefault="00FF7F6B" w:rsidP="009C7B6C">
      <w:pPr>
        <w:spacing w:after="0" w:line="240" w:lineRule="auto"/>
      </w:pPr>
      <w:r>
        <w:separator/>
      </w:r>
    </w:p>
  </w:footnote>
  <w:footnote w:type="continuationSeparator" w:id="0">
    <w:p w:rsidR="00FF7F6B" w:rsidRDefault="00FF7F6B" w:rsidP="009C7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54B" w:rsidRDefault="00A705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93B" w:rsidRPr="00772ABB" w:rsidRDefault="009B493B" w:rsidP="009C7B6C">
    <w:pPr>
      <w:pStyle w:val="Header"/>
      <w:rPr>
        <w:sz w:val="20"/>
        <w:szCs w:val="20"/>
      </w:rPr>
    </w:pPr>
    <w:r>
      <w:rPr>
        <w:sz w:val="20"/>
        <w:szCs w:val="20"/>
      </w:rPr>
      <w:t xml:space="preserve">Requirement Title:  </w:t>
    </w:r>
    <w:r w:rsidR="00A7054B" w:rsidRPr="00793CCA">
      <w:rPr>
        <w:b/>
        <w:sz w:val="20"/>
        <w:szCs w:val="20"/>
      </w:rPr>
      <w:t>Generalized CDS</w:t>
    </w:r>
    <w:r w:rsidRPr="00793CCA">
      <w:rPr>
        <w:b/>
        <w:sz w:val="20"/>
        <w:szCs w:val="20"/>
      </w:rPr>
      <w:t xml:space="preserve"> Use Cases</w:t>
    </w:r>
    <w:r>
      <w:rPr>
        <w:sz w:val="20"/>
        <w:szCs w:val="20"/>
      </w:rPr>
      <w:tab/>
    </w:r>
    <w:r>
      <w:rPr>
        <w:sz w:val="20"/>
        <w:szCs w:val="20"/>
      </w:rPr>
      <w:tab/>
      <w:t>Joseph Giroux</w:t>
    </w:r>
    <w:r w:rsidR="00A7054B">
      <w:rPr>
        <w:sz w:val="20"/>
        <w:szCs w:val="20"/>
      </w:rPr>
      <w:t xml:space="preserve"> – </w:t>
    </w:r>
    <w:r w:rsidR="00703FBD">
      <w:rPr>
        <w:sz w:val="20"/>
        <w:szCs w:val="20"/>
      </w:rPr>
      <w:t xml:space="preserve">Dec. </w:t>
    </w:r>
    <w:r w:rsidR="00703FBD">
      <w:rPr>
        <w:sz w:val="20"/>
        <w:szCs w:val="20"/>
      </w:rPr>
      <w:t>6</w:t>
    </w:r>
    <w:r w:rsidR="00A7054B">
      <w:rPr>
        <w:sz w:val="20"/>
        <w:szCs w:val="20"/>
      </w:rPr>
      <w:t>, 2011</w:t>
    </w:r>
  </w:p>
  <w:p w:rsidR="009B493B" w:rsidRPr="009C7B6C" w:rsidRDefault="009B493B">
    <w:pPr>
      <w:pStyle w:val="Header"/>
      <w:rPr>
        <w:sz w:val="20"/>
        <w:szCs w:val="20"/>
      </w:rPr>
    </w:pPr>
    <w:r>
      <w:rPr>
        <w:sz w:val="20"/>
        <w:szCs w:val="20"/>
      </w:rPr>
      <w:t>Product Owner: PESC Common Data Services Task Force</w:t>
    </w:r>
    <w:r>
      <w:rPr>
        <w:sz w:val="20"/>
        <w:szCs w:val="20"/>
      </w:rPr>
      <w:tab/>
    </w:r>
    <w:r>
      <w:rPr>
        <w:sz w:val="20"/>
        <w:szCs w:val="20"/>
      </w:rPr>
      <w:tab/>
    </w:r>
    <w:r>
      <w:t>josephgrx@gmail.com</w:t>
    </w:r>
    <w:r>
      <w:rPr>
        <w:sz w:val="20"/>
        <w:szCs w:val="20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54B" w:rsidRDefault="00A705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D2AEE"/>
    <w:multiLevelType w:val="hybridMultilevel"/>
    <w:tmpl w:val="5218B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63B71"/>
    <w:multiLevelType w:val="hybridMultilevel"/>
    <w:tmpl w:val="F99C7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B5BE8"/>
    <w:multiLevelType w:val="hybridMultilevel"/>
    <w:tmpl w:val="4FE0B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A6645"/>
    <w:multiLevelType w:val="hybridMultilevel"/>
    <w:tmpl w:val="63B22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32EEE"/>
    <w:multiLevelType w:val="hybridMultilevel"/>
    <w:tmpl w:val="2D84A308"/>
    <w:lvl w:ilvl="0" w:tplc="E80A6D5E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5E0B3E"/>
    <w:multiLevelType w:val="hybridMultilevel"/>
    <w:tmpl w:val="6616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56047"/>
    <w:multiLevelType w:val="hybridMultilevel"/>
    <w:tmpl w:val="8E221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C00746"/>
    <w:multiLevelType w:val="hybridMultilevel"/>
    <w:tmpl w:val="4FE0B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06BC"/>
    <w:rsid w:val="00086B6C"/>
    <w:rsid w:val="000D6AC8"/>
    <w:rsid w:val="000E6517"/>
    <w:rsid w:val="00230BB0"/>
    <w:rsid w:val="00251C60"/>
    <w:rsid w:val="00264B43"/>
    <w:rsid w:val="00273236"/>
    <w:rsid w:val="002E736F"/>
    <w:rsid w:val="0037554E"/>
    <w:rsid w:val="003964E7"/>
    <w:rsid w:val="003E33DB"/>
    <w:rsid w:val="003F3BF4"/>
    <w:rsid w:val="00412919"/>
    <w:rsid w:val="004C4CC7"/>
    <w:rsid w:val="00516F8E"/>
    <w:rsid w:val="00533272"/>
    <w:rsid w:val="00590B71"/>
    <w:rsid w:val="005F776C"/>
    <w:rsid w:val="00602FB2"/>
    <w:rsid w:val="006D63BB"/>
    <w:rsid w:val="00703FBD"/>
    <w:rsid w:val="007505BC"/>
    <w:rsid w:val="007610E7"/>
    <w:rsid w:val="00793CCA"/>
    <w:rsid w:val="008165BF"/>
    <w:rsid w:val="00852BFD"/>
    <w:rsid w:val="00911B3F"/>
    <w:rsid w:val="0092362D"/>
    <w:rsid w:val="00972C0D"/>
    <w:rsid w:val="009B493B"/>
    <w:rsid w:val="009C7B6C"/>
    <w:rsid w:val="00A7054B"/>
    <w:rsid w:val="00B018F7"/>
    <w:rsid w:val="00C02F16"/>
    <w:rsid w:val="00C07D7B"/>
    <w:rsid w:val="00C34C93"/>
    <w:rsid w:val="00C7091A"/>
    <w:rsid w:val="00CB4A2D"/>
    <w:rsid w:val="00CC06BC"/>
    <w:rsid w:val="00D438C6"/>
    <w:rsid w:val="00D66CB7"/>
    <w:rsid w:val="00E056C9"/>
    <w:rsid w:val="00E45A44"/>
    <w:rsid w:val="00EC391B"/>
    <w:rsid w:val="00F23377"/>
    <w:rsid w:val="00F65D12"/>
    <w:rsid w:val="00F70AD4"/>
    <w:rsid w:val="00FF5FCE"/>
    <w:rsid w:val="00FF7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7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B6C"/>
  </w:style>
  <w:style w:type="paragraph" w:styleId="Footer">
    <w:name w:val="footer"/>
    <w:basedOn w:val="Normal"/>
    <w:link w:val="FooterChar"/>
    <w:uiPriority w:val="99"/>
    <w:unhideWhenUsed/>
    <w:rsid w:val="009C7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B6C"/>
  </w:style>
  <w:style w:type="character" w:styleId="Hyperlink">
    <w:name w:val="Hyperlink"/>
    <w:basedOn w:val="DefaultParagraphFont"/>
    <w:uiPriority w:val="99"/>
    <w:unhideWhenUsed/>
    <w:rsid w:val="009C7B6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2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7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B6C"/>
  </w:style>
  <w:style w:type="paragraph" w:styleId="Footer">
    <w:name w:val="footer"/>
    <w:basedOn w:val="Normal"/>
    <w:link w:val="FooterChar"/>
    <w:uiPriority w:val="99"/>
    <w:unhideWhenUsed/>
    <w:rsid w:val="009C7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B6C"/>
  </w:style>
  <w:style w:type="character" w:styleId="Hyperlink">
    <w:name w:val="Hyperlink"/>
    <w:basedOn w:val="DefaultParagraphFont"/>
    <w:uiPriority w:val="99"/>
    <w:unhideWhenUsed/>
    <w:rsid w:val="009C7B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B2C33797448438CE363E016B8D9C8" ma:contentTypeVersion="1" ma:contentTypeDescription="Create a new document." ma:contentTypeScope="" ma:versionID="a763e031dc3d3f6bcc7a47de2b2d3fe5">
  <xsd:schema xmlns:xsd="http://www.w3.org/2001/XMLSchema" xmlns:p="http://schemas.microsoft.com/office/2006/metadata/properties" targetNamespace="http://schemas.microsoft.com/office/2006/metadata/properties" ma:root="true" ma:fieldsID="53762acbdaf9120ae801ee5f4c1d197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500CA52-C6F1-40CE-890B-13431FEC8F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2FD38F-EE6C-4486-B448-16CBF63D924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2FC4377-56E3-4886-B7B1-5718B4CB3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Morrison</dc:creator>
  <cp:lastModifiedBy>Joseph Giroux</cp:lastModifiedBy>
  <cp:revision>8</cp:revision>
  <dcterms:created xsi:type="dcterms:W3CDTF">2011-11-28T23:22:00Z</dcterms:created>
  <dcterms:modified xsi:type="dcterms:W3CDTF">2011-12-06T20:21:00Z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0x010100C6AB2C33797448438CE363E016B8D9C8</vt:lpwstr>
  </property>
</Properties>
</file>