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D493" w14:textId="3ECCB4A7" w:rsidR="00D24F1F" w:rsidRDefault="006576E5" w:rsidP="0059429B">
      <w:pPr>
        <w:jc w:val="right"/>
      </w:pPr>
      <w:r>
        <w:t>ОТЧЕТ О ПРОДЕЛАННОЙ РАБОТЕ</w:t>
      </w:r>
    </w:p>
    <w:p w14:paraId="621C78FA" w14:textId="012A7ADC" w:rsidR="00FE4598" w:rsidRPr="006576E5" w:rsidRDefault="00192B40" w:rsidP="00192B40">
      <w:pPr>
        <w:pStyle w:val="a3"/>
        <w:jc w:val="right"/>
      </w:pPr>
      <w:r>
        <w:rPr>
          <w:lang w:val="en-US"/>
        </w:rPr>
        <w:t xml:space="preserve"> </w:t>
      </w:r>
      <w:r w:rsidR="006576E5">
        <w:t>СТУДЕНТОВ ФИЗТЕХ-КОЛЛЕДЖА</w:t>
      </w:r>
    </w:p>
    <w:p w14:paraId="52E53FAF" w14:textId="50593A20" w:rsidR="00FE4598" w:rsidRDefault="006576E5" w:rsidP="0059429B">
      <w:pPr>
        <w:jc w:val="right"/>
      </w:pPr>
      <w:r>
        <w:t>МАТВЕЕВА АЛИНА АЛЕКСЕЕВНА (ИСП-23В)</w:t>
      </w:r>
    </w:p>
    <w:p w14:paraId="552F7239" w14:textId="66D36141" w:rsidR="00FE4598" w:rsidRDefault="006576E5" w:rsidP="0059429B">
      <w:pPr>
        <w:jc w:val="right"/>
      </w:pPr>
      <w:r>
        <w:t>СУЛЕЙМАНОВА ЗАРЕМА МАГОМЕДОВНА (ИСП-23В)</w:t>
      </w:r>
    </w:p>
    <w:p w14:paraId="42176AF9" w14:textId="684CD4B8" w:rsidR="00FE4598" w:rsidRDefault="006576E5" w:rsidP="0059429B">
      <w:pPr>
        <w:jc w:val="right"/>
      </w:pPr>
      <w:r>
        <w:t>ПРЕДОСТАВЛЕН ПРЕПОДАВАТЕЛЯМ ФИЗТЕХ-КОЛЛЕДЖА</w:t>
      </w:r>
    </w:p>
    <w:p w14:paraId="12EDC335" w14:textId="643357B1" w:rsidR="00FE4598" w:rsidRDefault="006576E5" w:rsidP="0059429B">
      <w:pPr>
        <w:jc w:val="right"/>
      </w:pPr>
      <w:r>
        <w:t>ГАЛИНЕ БАЗЯК</w:t>
      </w:r>
      <w:r w:rsidRPr="00FE4598">
        <w:t>,</w:t>
      </w:r>
      <w:r>
        <w:t xml:space="preserve"> ИГОРЮ КОНОВАЛОВУ</w:t>
      </w:r>
      <w:r w:rsidRPr="00FE4598">
        <w:t>,</w:t>
      </w:r>
      <w:r>
        <w:t xml:space="preserve"> МАКСИМУ МЫШКИНУ</w:t>
      </w:r>
      <w:r w:rsidRPr="00FE4598">
        <w:t xml:space="preserve">, </w:t>
      </w:r>
      <w:r>
        <w:t>РУДНЕВУ НИКИТЕ</w:t>
      </w:r>
    </w:p>
    <w:p w14:paraId="364E53C2" w14:textId="38AFB0DA" w:rsidR="008E0085" w:rsidRPr="006F4794" w:rsidRDefault="006576E5" w:rsidP="006F4794">
      <w:pPr>
        <w:jc w:val="right"/>
      </w:pPr>
      <w:r>
        <w:t>ЗА ПЕРИОД С 09.12.2024 ПО 17.12.2024</w:t>
      </w:r>
    </w:p>
    <w:p w14:paraId="7B6CF52F" w14:textId="33A11F13" w:rsidR="006576E5" w:rsidRDefault="006576E5" w:rsidP="0059429B">
      <w:pPr>
        <w:jc w:val="right"/>
      </w:pPr>
    </w:p>
    <w:p w14:paraId="4731E6E8" w14:textId="77777777" w:rsidR="00EC19D2" w:rsidRDefault="00EC19D2" w:rsidP="0059429B">
      <w:pPr>
        <w:jc w:val="right"/>
      </w:pPr>
    </w:p>
    <w:p w14:paraId="362C2101" w14:textId="485D3687" w:rsidR="00102AD2" w:rsidRPr="00102AD2" w:rsidRDefault="00EC19D2" w:rsidP="00EC19D2">
      <w:pPr>
        <w:spacing w:after="0" w:line="240" w:lineRule="auto"/>
        <w:rPr>
          <w:rFonts w:ascii="Segoe UI Symbol" w:eastAsia="Times New Roman" w:hAnsi="Segoe UI Symbol" w:cs="Segoe UI Symbol"/>
          <w:sz w:val="28"/>
          <w:szCs w:val="28"/>
          <w:lang w:eastAsia="ru-RU"/>
        </w:rPr>
      </w:pP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Введение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В этом отчёте представлена работа по разработке модели, позволяющей прогнозировать вероятность покупки клиентами дополнительных услуг, в частности, приобретения парковочных мест. Основной задачей является выявление клиентов, наиболее склонных к покупке парковочного места, на основе анализа больших данных о предыдущем опыте взаимодействия с клиентами.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Данные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Исходные данные представляют собой наборы признаков по клиентам на первое число каждого месяца за 1,5 года. Каждый клиент имеет набор характеристик, которые могут включать: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Демографические данные ( 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Историю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покупок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(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предыдущие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покупки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,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частота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покупок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)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Взаимодействие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с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компанией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(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ответы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на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маркетинговые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кампании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,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посещение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сайта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и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т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.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д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.)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Характеристики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,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связанные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с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квартирой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(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расположение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,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площадь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,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кол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ичество комнат и т. д.)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Целевой признак равен 1, если в ближайшие 3 месяца клиент купит парковочное место. После покупки парковочного места клиент исключается из наборов данных.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Методология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1. Предобработка данных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Очистка данных: удаление дубликатов, обработка пропусков и аномалий.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Кодирование категориальных признаков: преобразование категориальных переменных 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Нормализация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/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стандартизация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: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приведение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числовых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признаков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к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единому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масштабу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для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улучшения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работы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модели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.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lastRenderedPageBreak/>
        <w:t xml:space="preserve">2.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Разделение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данных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Данные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были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</w:t>
      </w:r>
      <w:r w:rsidRPr="00EC19D2">
        <w:rPr>
          <w:rFonts w:ascii="Calibri Light" w:eastAsia="Times New Roman" w:hAnsi="Calibri Light" w:cs="Calibri Light"/>
          <w:sz w:val="28"/>
          <w:szCs w:val="28"/>
          <w:lang w:eastAsia="ru-RU"/>
        </w:rPr>
        <w:t>разделе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ны на обучающую и тестовую выборки в соотношении 80/20. Это позволяет оценить качество модели на независимом наборе данных.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3. Выбор модели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Для решения задачи классификации были рассмотрены несколько моделей:</w:t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proofErr w:type="spellStart"/>
      <w:r w:rsidR="00102AD2"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RandomForestClassifier</w:t>
      </w:r>
      <w:proofErr w:type="spellEnd"/>
    </w:p>
    <w:p w14:paraId="5F0FC977" w14:textId="77777777" w:rsidR="00102AD2" w:rsidRDefault="00102AD2" w:rsidP="00EC19D2">
      <w:pPr>
        <w:spacing w:after="0" w:line="240" w:lineRule="auto"/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</w:pPr>
      <w:proofErr w:type="spellStart"/>
      <w:r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CatBoostClassifier</w:t>
      </w:r>
      <w:proofErr w:type="spellEnd"/>
    </w:p>
    <w:p w14:paraId="2F97B952" w14:textId="16C35E44" w:rsidR="008E0085" w:rsidRPr="00102AD2" w:rsidRDefault="00102AD2" w:rsidP="00EC19D2">
      <w:pPr>
        <w:spacing w:after="0" w:line="240" w:lineRule="auto"/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</w:pPr>
      <w:proofErr w:type="spellStart"/>
      <w:r>
        <w:rPr>
          <w:rFonts w:ascii="Segoe UI Symbol" w:eastAsia="Times New Roman" w:hAnsi="Segoe UI Symbol" w:cs="Segoe UI Symbol"/>
          <w:sz w:val="28"/>
          <w:szCs w:val="28"/>
          <w:lang w:val="en-US" w:eastAsia="ru-RU"/>
        </w:rPr>
        <w:t>RandomForestClassifier</w:t>
      </w:r>
      <w:proofErr w:type="spellEnd"/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4. Обучение модели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Модель была обучена на обучающей выборке с использованием кросс-валидации для предотвращения переобучения. Для каждой модели были настроены </w:t>
      </w:r>
      <w:proofErr w:type="spellStart"/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гиперпараметры</w:t>
      </w:r>
      <w:proofErr w:type="spellEnd"/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 xml:space="preserve"> с помощью поиска по сетке или случайного поиска.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5. Оценка модели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Качество модели оценивалось с помощью метрики ROC-AUC, которая позволяет оценить способность модели различать классы (покупка машиноместа и отсутствие покупки).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Результаты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 xml:space="preserve">После обучения и тестирования моделей наилучшие результаты были получены с использованием модели градиентного </w:t>
      </w:r>
      <w:proofErr w:type="spellStart"/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бустинга</w:t>
      </w:r>
      <w:proofErr w:type="spellEnd"/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t>. ROC-AUC для этой модели составил 0,85, что указывает на хорошую способность модели прогнозировать вероятность покупки машиноместа.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Прогнозирование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Для каждого клиента был рассчитан скор (значение от 0 до 1), который отражает вероятность покупки машиноместа в ближайшие 3 месяца. Клиенты с наивысшими значениями скор будут включены в целевую аудиторию для коммуникации (смс, электронное письмо) с предложением приобрести машиноместо.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Заключение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Разработанная модель позволяет эффективно прогнозировать вероятность покупки машиноместа клиентами, что может значительно повысить эффективность маркетинговых кампаний. Рекомендуется регулярно обновлять модель с использованием новых данных для поддержания ее актуальности и точности.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lastRenderedPageBreak/>
        <w:t>Рекомендации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Регулярное обновление данных: включение новых данных о клиентах для повышения точности модели.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Анализ результатов: оценка эффективности коммуникаций с клиентами, получившими предложения о покупке парковочного места.</w:t>
      </w:r>
      <w:r w:rsidR="00EC19D2" w:rsidRPr="00EC19D2">
        <w:rPr>
          <w:rFonts w:asciiTheme="majorHAnsi" w:eastAsia="Times New Roman" w:hAnsiTheme="majorHAnsi" w:cstheme="majorHAnsi"/>
          <w:sz w:val="28"/>
          <w:szCs w:val="28"/>
          <w:lang w:eastAsia="ru-RU"/>
        </w:rPr>
        <w:br/>
        <w:t>Дополнительные исследования: изучение влияния различных факторов на решение о покупке парковочного места для дальнейшего улучшения модели.</w:t>
      </w:r>
    </w:p>
    <w:p w14:paraId="67F04F31" w14:textId="5D01D535" w:rsidR="002E70F9" w:rsidRPr="002E70F9" w:rsidRDefault="002E70F9" w:rsidP="002E70F9">
      <w:r w:rsidRPr="002E70F9">
        <w:rPr>
          <w:shd w:val="clear" w:color="auto" w:fill="766AC8"/>
        </w:rPr>
        <w:t>Анализ результатов: оценка эффективности коммуникаций с клиентами, получившими предложения о покупке парковочного места.</w:t>
      </w:r>
      <w:r w:rsidRPr="002E70F9">
        <w:br/>
      </w:r>
      <w:r w:rsidRPr="002E70F9">
        <w:rPr>
          <w:shd w:val="clear" w:color="auto" w:fill="766AC8"/>
        </w:rPr>
        <w:t>Дополнительные исследования: изучение влияния различных факторов на решение о покупке парковочного места для дальнейшего улучшения модели.</w:t>
      </w:r>
    </w:p>
    <w:p w14:paraId="69800B3F" w14:textId="77777777" w:rsidR="00FE4598" w:rsidRDefault="00FE4598" w:rsidP="0059429B">
      <w:pPr>
        <w:jc w:val="right"/>
      </w:pPr>
    </w:p>
    <w:p w14:paraId="451CF9F0" w14:textId="2908505B" w:rsidR="00FE4598" w:rsidRDefault="00FE4598" w:rsidP="0059429B">
      <w:pPr>
        <w:jc w:val="right"/>
      </w:pPr>
    </w:p>
    <w:p w14:paraId="784231B5" w14:textId="77777777" w:rsidR="00FE4598" w:rsidRPr="00FE4598" w:rsidRDefault="00FE4598" w:rsidP="0059429B">
      <w:pPr>
        <w:jc w:val="right"/>
      </w:pPr>
    </w:p>
    <w:sectPr w:rsidR="00FE4598" w:rsidRPr="00FE4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E6CFF"/>
    <w:multiLevelType w:val="hybridMultilevel"/>
    <w:tmpl w:val="7BF86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441CC"/>
    <w:multiLevelType w:val="hybridMultilevel"/>
    <w:tmpl w:val="F058F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D4F54"/>
    <w:multiLevelType w:val="hybridMultilevel"/>
    <w:tmpl w:val="429A9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451F5"/>
    <w:multiLevelType w:val="hybridMultilevel"/>
    <w:tmpl w:val="F112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E450B"/>
    <w:multiLevelType w:val="hybridMultilevel"/>
    <w:tmpl w:val="7BF86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A39EE"/>
    <w:multiLevelType w:val="hybridMultilevel"/>
    <w:tmpl w:val="9984E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A62A8"/>
    <w:multiLevelType w:val="hybridMultilevel"/>
    <w:tmpl w:val="C8C48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C6"/>
    <w:rsid w:val="00100DC6"/>
    <w:rsid w:val="00102AD2"/>
    <w:rsid w:val="00192B40"/>
    <w:rsid w:val="002E70F9"/>
    <w:rsid w:val="0059429B"/>
    <w:rsid w:val="0063311B"/>
    <w:rsid w:val="00650456"/>
    <w:rsid w:val="006576E5"/>
    <w:rsid w:val="00682E74"/>
    <w:rsid w:val="006F4794"/>
    <w:rsid w:val="008E0085"/>
    <w:rsid w:val="00D24F1F"/>
    <w:rsid w:val="00DD7789"/>
    <w:rsid w:val="00E24CD5"/>
    <w:rsid w:val="00E71541"/>
    <w:rsid w:val="00EC19D2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8881"/>
  <w15:chartTrackingRefBased/>
  <w15:docId w15:val="{6188852D-7E81-40DD-8CE1-2CBEF587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</cp:revision>
  <dcterms:created xsi:type="dcterms:W3CDTF">2024-12-16T20:26:00Z</dcterms:created>
  <dcterms:modified xsi:type="dcterms:W3CDTF">2024-12-16T20:26:00Z</dcterms:modified>
</cp:coreProperties>
</file>