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 – Перечень услуг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Договору возмездного оказания услуг № ______ от «____» __________ 2026 г.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Перечень услуг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1600"/>
        <w:gridCol w:w="21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услуги</w:t>
            </w:r>
          </w:p>
        </w:tc>
        <w:tc>
          <w:tcPr>
            <w:tcW w:type="dxa" w:w="1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21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ниши, конкурентов, составление портрета целевой аудитории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структуры и текстов посадочной страницы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— раздел 2 настоящего Приложения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Дизайн и вёрстка посадочной страницы, адаптация под мобильные устройства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на хостинге Исполнителя, подключение домена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Домен предоставляет Заказчик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Подключение виджета онлайн-записи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 к кабинету предоставляет Заказчик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Настройка веб-аналитики: счётчик Яндекс.Метрики, цели на целевые действия посетителей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Проработка структуры рекламных кампаний, подбор ключевых слов, разработка объявлений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Сопровождение рекламных кампаний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дней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Далее ежемесячно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Общий срок оказания услуг по пунктам 1–7 — 7 (семь) рабочих дней с даты, в которую наступило позднее из двух событий: внесение предоплаты либо предоставление Заказчиком материалов согласно п. 3.1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Общая стоимость услуг по настоящему Приложению составляет 40 000 (сорок тысяч) рублей, в том числе: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пунктам 1–7 — 30 000 (тридцать тысяч) рублей;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пункту 8 — 10 000 (десять тысяч) рублей за 30 дней сопровождения.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Порядок оплаты: предоплата 20 000 (двадцать тысяч) рублей в течение 3 банковских дней с даты подписания Договора; оставшиеся 20 000 (двадцать тысяч) рублей — в день передачи Заказчику результата по пунктам 1–7.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Дальнейшее сопровождение рекламных кампаний по пункту 8 оплачивается ежемесячно авансом в размере 10 000 (десяти тысяч) рублей. Рекламный бюджет оплачивается Заказчиком отдельно и в стоимость услуг не входит.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Состав посадочной страницы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Объём услуг по пунктам 2–3 раздела 1 определяется количеством и наименованием экранов и составляет 8 (восемь) экранов: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9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54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Главный продающий экран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 салона, заголовок с оффером, кнопка записи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Направления услуг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Ногти, брови, ресницы, солярий — карточками с фото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 салоне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Кто вы, сколько лет, чем отличаетесь от соседей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Наши мастера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Фото, имя, специализация, опыт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Прайс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Цены по направлениям, из списка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Карта, ориентиры, парковка, пандус, режим работы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Виджет онлайн-записи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Запись на странице: мастер, дата, время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Подвал и политика данных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Контакты, реквизиты, отдельная страница с политикой обработки персональных данных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Дополнительно в объём услуг входит адаптация под мобильные устройства, размещение на хостинге Исполнителя, подключение домена Заказчика, установка счётчика Яндекс.Метрики и настройка целей.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не перечисленные в разделах 1 и 2 настоящего Приложения, в объём услуг не входят и оказываются по отдельному соглашению Сторон.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Условия оказания услуг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3.1. Заказчик передаёт Исполнителю в течение 5 (пяти) рабочих дней с даты внесения предоплаты: логотип и фирменные цвета, фотографии помещения, работ и сотрудников, прайс на услуги, доступ к домену, доступ к личному кабинету системы онлайн-записи. Задержка передачи материалов сверх указанного срока сдвигает срок оказания услуг на соответствующее количество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3.2. Изменение состава. До начала вёрстки Заказчик вправе менять порядок экранов и заменять любой экран на другой равноценный по объёму без доплаты при сохранении общего количества экранов. Добавление экрана сверх восьми оплачивается по разделу 4 настоящего Приложения и продлевает срок на 1 рабочий день за каждый добавленный экран.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3.3. Корректировки после передачи результата. В течение 14 (четырнадцати) календарных дней с даты передачи результата Исполнитель безвозмездно вносит изменения по замечаниям Заказчика: исправление текстов, цен, контактов и опечаток, замена фотографий на переданные Заказчиком, приведение результата в соответствие с согласованным составом, устранение технических ошибок.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3.4. В безвозмездные корректировки не входят и оказываются по разделу 4 настоящего Приложения: добавление экранов и страниц, изменение согласованного состава и порядка экранов, изменение цветовой схемы, шрифтов и стилистики, разработка новых текстов сверх согласованного объёма, подключение дополнительных сервисов и интеграций.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3.5. Замечания направляются Заказчиком в письменном виде списком. Исполнитель приступает к их устранению в течение 2 рабочих дней с момента получения. Замечания, направленные по истечении срока, указанного в п. 3.3, устраняются по разделу 4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3.6. Гарантия на технические дефекты составляет 30 (тридцать) календарных дней с даты передачи результата. В указанный срок Исполнитель безвозмездно устраняет неработающие ссылки и кнопки, ошибки отображения, некорректную работу на мобильных устройствах и неработоспособность виджета онлайн-записи. На изменение содержания гарантия не распространяется.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3.7. Исполнитель не несёт ответственности за перебои в работе результата услуг, вызванные сбоями хостинга, домена, DNS и каналов связи, за действия третьих лиц, включая хостинг-провайдера и регистратора домена, а также за последствия неоплаты Заказчиком домена и хостинга.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3.8. С момента передачи Заказчику доступов ответственность за сохранность паролей, резервное копирование и последствия самостоятельно внесённых Заказчиком или привлечёнными им лицами изменений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3.9. Исполнитель не гарантирует конкретного количества обращений, записей, заявок и продаж, а также позиций в поисковой выдаче. Результат оказания услуг зависит в том числе от рекламного бюджета, конкуренции, сезонности, цен и работы персонала Заказчика.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3.10. Совокупная ответственность Исполнителя по Договору ограничена суммой, фактически полученной по нему. Упущенная выгода и иные косвенные убытки возмещению не подлежат. Неустойка, предусмотренная п. 7.4.1 Договора, начисляется в размере 0,1 % от стоимости услуг за каждый день просрочки и в совокупности не может превышать 10 % от стоимости услуг.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3.11. Исполнитель вправе указывать факт сотрудничества с Заказчиком и размещать изображения результата оказанных услуг в своих информационных материалах и портфолио. Абсолютные суммы рекламного бюджета и выручки Заказчика не раскрываются. По письменному требованию Заказчика указанные материалы удаляются в течение 5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3.12. Обязанность по подаче уведомления в уполномоченный орган и получению согласий посетителей на обработку персональных данных лежит на Заказчике как операторе персональных данных. Исполнитель размещает текст политики обработки персональных данных.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Стоимость дополнительных работ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 выполняются после письменного согласования Сторонами состава и стоимости, на условиях 100 % предоплаты.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200"/>
      </w:tblGrid>
      <w:tr>
        <w:trPr>
          <w:tblHeader/>
        </w:trPr>
        <w:tc>
          <w:tcPr>
            <w:tcW w:type="dxa" w:w="68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22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Правки текста, цен, контактов — до 10 штук за раз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Обновить прайс целиком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или заменить фотографии, до 20 штук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акция: баннер и текст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мастера в блок «Мастера»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Новый блок на существующей странице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6 000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страница под направление услуг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12 000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Плановое обновление раз в полгода: акции, прайс, фото,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8 000 руб.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отсутствующие в настоящем разделе, оцениваются Сторонами отдельно.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Заключительные положения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5.1. Настоящее Приложение является неотъемлемой частью Договора. В части, урегулированной настоящим Приложением, его условия имеют приоритет над условиями Договора.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5.2. Настоящее Приложение составлено в двух экземплярах, имеющих равную юридическую силу, по одному экземпляру для каждой из Сторон.</w:t>
      </w:r>
    </w:p>
    <w:p>
      <w:pPr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 сторон: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Заказчика</w:t>
            </w:r>
          </w:p>
        </w:tc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Исполнителя</w:t>
            </w:r>
          </w:p>
        </w:tc>
      </w:tr>
      <w:tr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____________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Апполонов А. А.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000" w:right="9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2026-08-03T11:44:14.017Z</dcterms:created>
  <dcterms:modified xsi:type="dcterms:W3CDTF">2026-08-03T11:44:14.017Z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