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№ 1 – Перечень услуг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Договору возмездного оказания услуг № ______ от «____» __________ 2026 г.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Перечень услуг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00"/>
        <w:gridCol w:w="1600"/>
        <w:gridCol w:w="2100"/>
      </w:tblGrid>
      <w:tr>
        <w:trPr>
          <w:tblHeader/>
        </w:trPr>
        <w:tc>
          <w:tcPr>
            <w:tcW w:type="dxa" w:w="7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6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 услуги</w:t>
            </w:r>
          </w:p>
        </w:tc>
        <w:tc>
          <w:tcPr>
            <w:tcW w:type="dxa" w:w="16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</w:t>
            </w:r>
          </w:p>
        </w:tc>
        <w:tc>
          <w:tcPr>
            <w:tcW w:type="dxa" w:w="21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Анализ ниши, конкурентов, составление портрета целевой аудитории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день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Разработка структуры и текстов посадочной страницы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 — раздел 2 настоящего Приложения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Дизайн и вёрстка посадочной страницы, адаптация под мобильные устройства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Размещение на хостинге Заказчика, подключение домена Заказчика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день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Хостинг и домен оформляются на Заказчика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Подключение виджета онлайн-записи Заказчика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1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Доступ к кабинету предоставляет Заказчик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Настройка веб-аналитики: счётчик Яндекс.Метрики, цели на целевые действия посетителей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день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Проработка структуры рекламных кампаний, подбор ключевых слов, разработка объявлений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Сопровождение рекламных кампаний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 дней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Далее ежемесячно</w:t>
            </w:r>
          </w:p>
        </w:tc>
      </w:tr>
    </w:tbl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Общий срок оказания услуг по пунктам 1–7 — 7 (семь) рабочих дней с даты, в которую наступило позднее из двух событий: внесение предоплаты либо предоставление Заказчиком материалов согласно п. 3.1 настоящего Приложения.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Общая стоимость услуг по настоящему Приложению составляет 40 000 (сорок тысяч) рублей, в том числе:</w:t>
      </w:r>
    </w:p>
    <w:p>
      <w:pPr>
        <w:spacing w:after="100" w:line="260"/>
        <w:ind w:left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— по пунктам 1–7 — 30 000 (тридцать тысяч) рублей;</w:t>
      </w:r>
    </w:p>
    <w:p>
      <w:pPr>
        <w:spacing w:after="100" w:line="260"/>
        <w:ind w:left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— по пункту 8 — 10 000 (десять тысяч) рублей за 30 дней сопровождения.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Порядок оплаты: предоплата 20 000 (двадцать тысяч) рублей в течение 3 банковских дней с даты подписания Договора; оставшиеся 20 000 (двадцать тысяч) рублей — в день передачи Заказчику результата по пунктам 1–7.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Дальнейшее сопровождение рекламных кампаний по пункту 8 оплачивается ежемесячно авансом в размере 10 000 (десяти тысяч) рублей. Рекламный бюджет оплачивается Заказчиком отдельно и в стоимость услуг не входит.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Состав посадочной страницы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Объём услуг по пунктам 2–3 раздела 1 определяется количеством и наименованием экранов и составляет 8 (восемь) экранов: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5400"/>
      </w:tblGrid>
      <w:tr>
        <w:trPr>
          <w:tblHeader/>
        </w:trPr>
        <w:tc>
          <w:tcPr>
            <w:tcW w:type="dxa" w:w="7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9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Экран</w:t>
            </w:r>
          </w:p>
        </w:tc>
        <w:tc>
          <w:tcPr>
            <w:tcW w:type="dxa" w:w="54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Главный продающий экран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Фото салона, заголовок с оффером, кнопка записи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Направления услуг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Ногти, брови, ресницы, солярий — карточками с фото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 салоне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Кто вы, сколько лет, чем отличаетесь от соседей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Наши мастера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Фото, имя, специализация, опыт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Прайс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Цены по направлениям, из списка Заказчика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Контакты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Карта, ориентиры, парковка, пандус, режим работы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Виджет онлайн-записи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Запись на странице: мастер, дата, время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Подвал и политика данных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Контакты, реквизиты, отдельная страница с политикой обработки персональных данных</w:t>
            </w:r>
          </w:p>
        </w:tc>
      </w:tr>
    </w:tbl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Дополнительно в объём услуг входит адаптация под мобильные устройства, размещение на хостинге Заказчика, подключение домена Заказчика, установка счётчика Яндекс.Метрики и настройка целей.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Работы, не перечисленные в разделах 1 и 2 настоящего Приложения, в объём услуг не входят и оказываются по отдельному соглашению Сторон.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Порядок согласования и правки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3.1. Заказчик передаёт Исполнителю в течение 5 (пяти) рабочих дней с даты внесения предоплаты: логотип и фирменные цвета, фотографии помещения, работ и сотрудников, прайс на услуги, доступ к хостингу и домену, доступ к личному кабинету системы онлайн-записи. Задержка передачи материалов сверх указанного срока сдвигает срок оказания услуг на соответствующее количество рабочих дней.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3.2. Услуги согласуются в два этапа: структура и тексты; промежуточная версия страницы. На каждом этапе Исполнитель направляет версию Заказчику, а Заказчик в течение 3 (трёх) рабочих дней письменно утверждает её либо направляет один сводный перечень замечаний. Отсутствие ответа в указанный срок означает утверждение этапа.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3.3. В стоимость услуг входят два сводных цикла правок на этапе структуры и текстов и два сводных цикла правок по промежуточной версии страницы — всего четыре цикла. Цикл — это один перечень замечаний и одно внесение исправлений по нему. Переработка ранее утверждённого этапа по новым пожеланиям Заказчика оплачивается по разделу 6 настоящего Приложения.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3.4. Изменение состава экранов. До начала вёрстки Заказчик вправе менять порядок экранов и заменять любой экран на другой равноценный по объёму без доплаты при сохранении общего количества экранов. Добавление экрана сверх восьми оплачивается по разделу 6 настоящего Приложения и продлевает срок на 1 рабочий день за каждый добавленный экран.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3.5. После передачи итоговой версии Заказчику предоставляется 14 (четырнадцать) календарных дней на проверку и направление замечаний по соответствию результата согласованному составу. Безвозмездно исправляются: опечатки, неверно перенесённые цены, телефоны и адреса, несоответствие утверждённой структуре, а также технические ошибки — неработающие ссылки и кнопки, ошибки отображения, некорректная работа на мобильных устройствах, неработоспособность виджета онлайн-записи.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3.6. В указанные 14 дней не входят и оплачиваются по разделу 6 настоящего Приложения: добавление экранов и страниц, изменение ранее утверждённых решений, изменение цветовой схемы, шрифтов и стилистики, разработка новых текстов сверх согласованного объёма, подключение дополнительных сервисов и интеграций, регулярное наполнение страницы.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3.7. Замечания направляются Заказчиком письменно, одним сводным списком. Исполнитель приступает к их устранению в течение 2 рабочих дней с момента получения. Замечания, направленные по истечении срока, указанного в п. 3.5, устраняются по разделу 6 настоящего Приложения.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3.8. Гарантия на технические дефекты составляет 30 (тридцать) календарных дней с даты передачи результата. В указанный срок Исполнитель безвозмездно устраняет технические ошибки, перечисленные в п. 3.5, даже по истечении срока проверки. На изменение содержания гарантия не распространяется.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Материалы, права и лицензии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4.1. Заказчик гарантирует, что обладает всеми необходимыми правами и согласиями на передаваемые Исполнителю материалы — фотографии, логотип, тексты, отзывы, изображения и персональные данные работников и клиентов — и несёт полную ответственность за правомерность их использования и размещения.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4.2. При отсутствии у Заказчика собственных материалов Исполнитель по его поручению подбирает изображения, шрифты и графические элементы исключительно из источников, допускающих коммерческое использование на условиях свободной лицензии, либо создаёт их самостоятельно. По запросу Заказчика Исполнитель сообщает источник происхождения любого использованного материала.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4.3. Материалы, подобранные Исполнителем, размещаются только после согласования Заказчиком. До публикации Заказчик вправе запросить сведения о происхождении любого материала, отказаться от него и потребовать замены. Согласование материалов фиксируется письменно в переписке Сторон.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4.4. В стоимость услуг не входит приобретение платных лицензий на фотографии, шрифты, графику, программные компоненты, шаблоны и иные объекты интеллектуальной собственности. Использование платного объекта допускается только после отдельного согласования Сторон и оплаты соответствующей лицензии Заказчиком. Лицензия оформляется на Заказчика.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4.5. С момента подписания акта сдачи-приёма Заказчик самостоятельно отвечает за содержание опубликованной страницы, включая правомерность использования всех размещённых на ней материалов.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4.6. В случае предъявления третьими лицами претензий, исков или требований, связанных с материалами, переданными Заказчиком либо согласованными им в порядке п. 4.3, Заказчик урегулирует такие требования самостоятельно и за свой счёт, а также возмещает Исполнителю понесённые в связи с ними расходы.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Ответственность и гарантии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5.1. Хостинг и доменное имя регистрируются на Заказчика и оплачиваются Заказчиком самостоятельно. Исполнитель размещает результат оказанных услуг на хостинге Заказчика и не является владельцем или администратором соответствующих учётных записей. По запросу Заказчика Исполнитель безвозмездно консультирует по выбору хостинга. Ответственность за своевременную оплату и продление хостинга и доменного имени несёт Заказчик.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5.2. Исполнитель не несёт ответственности за перебои в работе результата услуг, вызванные сбоями хостинга, домена, DNS, каналов связи, сервиса онлайн-записи и иных внешних сервисов, а также за действия третьих лиц, включая хостинг-провайдера и регистратора домена.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5.3. С момента передачи Заказчику доступов ответственность за сохранность паролей, резервное копирование и последствия самостоятельно внесённых Заказчиком или привлечёнными им лицами изменений несёт Заказчик.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5.4. Исполнитель не гарантирует конкретного количества обращений, записей, заявок и продаж, а также позиций в поисковой выдаче и срока выхода на положительную динамику. Результат оказания услуг зависит в том числе от рекламного бюджета, конкуренции, сезонности, цен и работы персонала Заказчика.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5.5. Совокупная ответственность Исполнителя по Договору ограничена суммой, фактически полученной по нему. Упущенная выгода и иные косвенные убытки возмещению не подлежат. Неустойка, предусмотренная п. 7.4.1 Договора, начисляется в размере 0,1 % от стоимости услуг за каждый день просрочки и в совокупности не может превышать 10 % от стоимости услуг.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5.6. Исполнитель вправе указывать факт сотрудничества с Заказчиком и размещать изображения результата оказанных услуг в своих информационных материалах и портфолио. Абсолютные суммы рекламного бюджета и выручки Заказчика не раскрываются. По письменному требованию Заказчика указанные материалы удаляются в течение 5 рабочих дней.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5.7. Заказчик является оператором персональных данных посетителей страницы. Обязанность по подаче уведомления в уполномоченный орган и получению согласий на обработку персональных данных лежит на Заказчике. Исполнитель размещает текст политики обработки персональных данных в пределах согласованного состава работ.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Стоимость дополнительных работ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Работы выполняются после письменного согласования Сторонами состава и стоимости, на условиях 100 % предоплаты.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200"/>
      </w:tblGrid>
      <w:tr>
        <w:trPr>
          <w:tblHeader/>
        </w:trPr>
        <w:tc>
          <w:tcPr>
            <w:tcW w:type="dxa" w:w="68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Работа</w:t>
            </w:r>
          </w:p>
        </w:tc>
        <w:tc>
          <w:tcPr>
            <w:tcW w:type="dxa" w:w="22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Правки текста, цен, контактов — до 10 штук за раз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1 500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Обновить прайс целиком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2 500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Добавить или заменить фотографии, до 20 штук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Новая акция: баннер и текст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2 500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Добавить мастера в блок «Мастера»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Новый блок на существующей странице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 6 000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Новая страница под направление услуг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 12 000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Плановое обновление раз в полгода: акции, прайс, фото, работы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Дополнительный цикл правок сверх предусмотренных п. 3.3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2 000 руб.</w:t>
            </w:r>
          </w:p>
        </w:tc>
      </w:tr>
    </w:tbl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Работы, отсутствующие в настоящем разделе, оцениваются Сторонами отдельно.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Заключительные положения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7.1. Настоящее Приложение является неотъемлемой частью Договора. В части, урегулированной настоящим Приложением, его условия имеют приоритет над условиями Договора.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7.2. Настоящее Приложение составлено в двух экземплярах, имеющих равную юридическую силу, по одному экземпляру для каждой из Сторон.</w:t>
      </w:r>
    </w:p>
    <w:p>
      <w:pPr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Подписи сторон: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3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 имени Заказчика</w:t>
            </w:r>
          </w:p>
        </w:tc>
        <w:tc>
          <w:tcPr>
            <w:tcW w:type="dxa" w:w="4500"/>
          </w:tcPr>
          <w:p>
            <w:pPr>
              <w:spacing w:after="3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 имени Исполнителя</w:t>
            </w:r>
          </w:p>
        </w:tc>
      </w:tr>
      <w:tr>
        <w:tc>
          <w:tcPr>
            <w:tcW w:type="dxa" w:w="4500"/>
          </w:tcPr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 / ____________</w:t>
            </w:r>
          </w:p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М.П.</w:t>
            </w:r>
          </w:p>
        </w:tc>
        <w:tc>
          <w:tcPr>
            <w:tcW w:type="dxa" w:w="4500"/>
          </w:tcPr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 / Апполонов А. А.</w:t>
            </w:r>
          </w:p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М.П.</w:t>
            </w:r>
          </w:p>
        </w:tc>
      </w:tr>
    </w:tbl>
    <w:sectPr>
      <w:pgSz w:w="11906" w:h="16838" w:orient="portrait"/>
      <w:pgMar w:top="1000" w:right="9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2026-08-03T12:28:33.903Z</dcterms:created>
  <dcterms:modified xsi:type="dcterms:W3CDTF">2026-08-03T12:28:33.920Z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