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Аксёнова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1.Определить вид шифротекста при известном ключе и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 точки зрения теории криптоанализа, метод шифрования однократной случайной равновероятной гаммой той же длины, что и открытый текст, является невскрываемым (далее для краткости авторы будут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все вышесказанное).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криптоаналитик не может сказать о дешифровке, верна она или нет. Кроме того, даже раскрыв часть сообщения, дешифровщик не сможет хоть сколько нибудь поправить положение - информация о вскрытом участке гаммы не дает информации об остальных ее частях.</w:t>
      </w:r>
    </w:p>
    <w:bookmarkEnd w:id="22"/>
    <w:bookmarkStart w:id="31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Импортируем все необходимые библиотеки и пишем функцию генерирования ключа, а также функцию гаммирования. (Рис. 1).</w:t>
      </w:r>
    </w:p>
    <w:p>
      <w:pPr>
        <w:pStyle w:val="CaptionedFigure"/>
      </w:pPr>
      <w:bookmarkStart w:id="24" w:name="fig:001"/>
      <w:r>
        <w:drawing>
          <wp:inline>
            <wp:extent cx="5334000" cy="1038014"/>
            <wp:effectExtent b="0" l="0" r="0" t="0"/>
            <wp:docPr descr="Figure 1: Импорт библиотек и написание функций" title="" id="1" name="Picture"/>
            <a:graphic>
              <a:graphicData uri="http://schemas.openxmlformats.org/drawingml/2006/picture">
                <pic:pic>
                  <pic:nvPicPr>
                    <pic:cNvPr descr="image/report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Импорт библиотек и написание функций</w:t>
      </w:r>
    </w:p>
    <w:p>
      <w:pPr>
        <w:numPr>
          <w:ilvl w:val="0"/>
          <w:numId w:val="1002"/>
        </w:numPr>
        <w:pStyle w:val="Compact"/>
      </w:pPr>
      <w:r>
        <w:t xml:space="preserve">Определяем вид шифротекста при известном ключе и известном открытом тексте. (Рис. 2).</w:t>
      </w:r>
    </w:p>
    <w:p>
      <w:pPr>
        <w:pStyle w:val="CaptionedFigure"/>
      </w:pPr>
      <w:bookmarkStart w:id="26" w:name="fig:002"/>
      <w:r>
        <w:drawing>
          <wp:inline>
            <wp:extent cx="5334000" cy="824250"/>
            <wp:effectExtent b="0" l="0" r="0" t="0"/>
            <wp:docPr descr="Figure 2: Шифрование открытого текста" title="" id="1" name="Picture"/>
            <a:graphic>
              <a:graphicData uri="http://schemas.openxmlformats.org/drawingml/2006/picture">
                <pic:pic>
                  <pic:nvPicPr>
                    <pic:cNvPr descr="image/repor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Шифрование открытого текста</w:t>
      </w:r>
    </w:p>
    <w:p>
      <w:pPr>
        <w:numPr>
          <w:ilvl w:val="0"/>
          <w:numId w:val="1003"/>
        </w:numPr>
        <w:pStyle w:val="Compact"/>
      </w:pPr>
      <w:r>
        <w:t xml:space="preserve">Применяем функцию</w:t>
      </w:r>
      <w:r>
        <w:t xml:space="preserve"> </w:t>
      </w:r>
      <w:r>
        <w:t xml:space="preserve">“</w:t>
      </w:r>
      <w:r>
        <w:t xml:space="preserve">gamming</w:t>
      </w:r>
      <w:r>
        <w:t xml:space="preserve">”</w:t>
      </w:r>
      <w:r>
        <w:t xml:space="preserve"> </w:t>
      </w:r>
      <w:r>
        <w:t xml:space="preserve">к полученному шифру и ключу, чтобы провериьь правильность работы программы. В результате снова получаем исходный текст (Рис. 3).</w:t>
      </w:r>
    </w:p>
    <w:p>
      <w:pPr>
        <w:pStyle w:val="CaptionedFigure"/>
      </w:pPr>
      <w:bookmarkStart w:id="28" w:name="fig:003"/>
      <w:r>
        <w:drawing>
          <wp:inline>
            <wp:extent cx="5334000" cy="705198"/>
            <wp:effectExtent b="0" l="0" r="0" t="0"/>
            <wp:docPr descr="Figure 3: Проверка правильности работы кода" title="" id="1" name="Picture"/>
            <a:graphic>
              <a:graphicData uri="http://schemas.openxmlformats.org/drawingml/2006/picture">
                <pic:pic>
                  <pic:nvPicPr>
                    <pic:cNvPr descr="image/repor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Проверка правильности работы кода</w:t>
      </w:r>
    </w:p>
    <w:p>
      <w:pPr>
        <w:numPr>
          <w:ilvl w:val="0"/>
          <w:numId w:val="1004"/>
        </w:numPr>
        <w:pStyle w:val="Compact"/>
      </w:pPr>
      <w:r>
        <w:t xml:space="preserve">Определяем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 (Рис. 4).</w:t>
      </w:r>
    </w:p>
    <w:p>
      <w:pPr>
        <w:pStyle w:val="CaptionedFigure"/>
      </w:pPr>
      <w:bookmarkStart w:id="30" w:name="fig:004"/>
      <w:r>
        <w:drawing>
          <wp:inline>
            <wp:extent cx="5334000" cy="1097958"/>
            <wp:effectExtent b="0" l="0" r="0" t="0"/>
            <wp:docPr descr="Figure 4: Расшифровка зашифрованного текста новым ключом" title="" id="1" name="Picture"/>
            <a:graphic>
              <a:graphicData uri="http://schemas.openxmlformats.org/drawingml/2006/picture">
                <pic:pic>
                  <pic:nvPicPr>
                    <pic:cNvPr descr="image/repor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Расшифровка зашифрованного текста новым ключом</w:t>
      </w:r>
    </w:p>
    <w:bookmarkEnd w:id="31"/>
    <w:bookmarkStart w:id="32" w:name="ответы-на-котнрольные-вопросы"/>
    <w:p>
      <w:pPr>
        <w:pStyle w:val="Heading1"/>
      </w:pPr>
      <w:r>
        <w:t xml:space="preserve">Ответы на котнрольные вопросы</w:t>
      </w:r>
    </w:p>
    <w:p>
      <w:pPr>
        <w:numPr>
          <w:ilvl w:val="0"/>
          <w:numId w:val="1005"/>
        </w:numPr>
      </w:pPr>
      <w:r>
        <w:t xml:space="preserve"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Однократное гаммирование – это когда каждый символ попарно с символом ключа складываются по модулю 2 (XOR) (обозначается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).</w:t>
      </w:r>
    </w:p>
    <w:p>
      <w:pPr>
        <w:numPr>
          <w:ilvl w:val="0"/>
          <w:numId w:val="1005"/>
        </w:numPr>
      </w:pPr>
      <w:r>
        <w:t xml:space="preserve">Недостатки: Размер ключевого материала должен совпадать с размером передаваемых сообщений. Кроме того,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>
      <w:pPr>
        <w:numPr>
          <w:ilvl w:val="0"/>
          <w:numId w:val="1005"/>
        </w:numPr>
      </w:pPr>
      <w:r>
        <w:t xml:space="preserve">Преимущества: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К достоинствам также можно отнести простоту реализации и удобство применения.</w:t>
      </w:r>
    </w:p>
    <w:p>
      <w:pPr>
        <w:numPr>
          <w:ilvl w:val="0"/>
          <w:numId w:val="1005"/>
        </w:numPr>
      </w:pPr>
      <w:r>
        <w:t xml:space="preserve">Потому что каждый символ открытого текста должен складываться с символом ключа попарно.</w:t>
      </w:r>
    </w:p>
    <w:p>
      <w:pPr>
        <w:numPr>
          <w:ilvl w:val="0"/>
          <w:numId w:val="1005"/>
        </w:numPr>
      </w:pPr>
      <w:r>
        <w:t xml:space="preserve">В режиме однократного гаммирования используется сложение по модулю 2 (XOR) между элементами гаммы и элементами подлежащего сокрытию текста. Особенность заключается в том, что этот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программой.</w:t>
      </w:r>
    </w:p>
    <w:p>
      <w:pPr>
        <w:numPr>
          <w:ilvl w:val="0"/>
          <w:numId w:val="1005"/>
        </w:numPr>
      </w:pPr>
      <w:r>
        <w:t xml:space="preserve">Сложить по модулю 2 каждый символ открытого текста и ключа</w:t>
      </w:r>
    </w:p>
    <w:p>
      <w:pPr>
        <w:numPr>
          <w:ilvl w:val="0"/>
          <w:numId w:val="1005"/>
        </w:numPr>
      </w:pPr>
      <w:r>
        <w:t xml:space="preserve">Сложить по модулю 2 каждый символ открытого текста и шифротекста.</w:t>
      </w:r>
    </w:p>
    <w:p>
      <w:pPr>
        <w:numPr>
          <w:ilvl w:val="0"/>
          <w:numId w:val="1005"/>
        </w:numPr>
      </w:pP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Полная случайность ключа;</w:t>
      </w:r>
      <w:r>
        <w:t xml:space="preserve"> </w:t>
      </w:r>
      <w:r>
        <w:t xml:space="preserve">Равенство длин ключа и открытого текста;</w:t>
      </w:r>
      <w:r>
        <w:t xml:space="preserve"> </w:t>
      </w:r>
      <w:r>
        <w:t xml:space="preserve">Однократное использование ключа.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было освоено на практике применение режима однократного гаммирования</w:t>
      </w:r>
    </w:p>
    <w:bookmarkEnd w:id="33"/>
    <w:bookmarkStart w:id="34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06"/>
        </w:numPr>
      </w:pPr>
      <w:r>
        <w:t xml:space="preserve">Острейковский В. А. Информатика: учеб. для вузов / В. А. Острейковский. - 4-е изд., стер. - М.: Высш. шк., 2007. - 511 с.</w:t>
      </w:r>
    </w:p>
    <w:p>
      <w:pPr>
        <w:numPr>
          <w:ilvl w:val="0"/>
          <w:numId w:val="1006"/>
        </w:numPr>
      </w:pPr>
      <w:r>
        <w:t xml:space="preserve">Алексеев, М. Е. Шифрование методом гаммирования / М. Е. Алексеев // 70-я научно-техническая конференция учащихся, студентов и магистрантов, 15-20 апреля 2019 г., Минск : сборник научных работ : в 4 ч. Ч. 4. - Минск : БГТУ, 2019. - С. 398-401.</w:t>
      </w:r>
    </w:p>
    <w:p>
      <w:pPr>
        <w:numPr>
          <w:ilvl w:val="0"/>
          <w:numId w:val="1006"/>
        </w:numPr>
      </w:pPr>
      <w:r>
        <w:t xml:space="preserve">Прикладные задачи шифрования [Электронный ресурс]. – Режим доступа : http://citforum.ru/internet/securities/cryptobook07.shtml, свободный. – Загл. с экрана.</w:t>
      </w:r>
    </w:p>
    <w:p>
      <w:pPr>
        <w:numPr>
          <w:ilvl w:val="0"/>
          <w:numId w:val="1006"/>
        </w:numPr>
      </w:pPr>
      <w:r>
        <w:t xml:space="preserve">Шифры гаммирования [Электронный ресурс]. – Режим доступа : https://bstudy.net/825827/tehnika/shifry_gammirovaniya, свободный. – Загл. с экрана.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Аксёнова Алина Владимировна</dc:creator>
  <dc:language>ru-RU</dc:language>
  <cp:keywords/>
  <dcterms:created xsi:type="dcterms:W3CDTF">2021-12-10T14:44:08Z</dcterms:created>
  <dcterms:modified xsi:type="dcterms:W3CDTF">2021-12-10T14:44:08Z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Однократное гаммирование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