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5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Аксёнова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Прочитать оба текста, не зная ключа и не стремясь его определить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С точки зрения теории криптоанализа, метод шифрования однократной случайной равновероятной гаммой той же длины, что и открытый текст, является невскрываемым (далее для краткости авторы будут употреблять термин</w:t>
      </w:r>
      <w:r>
        <w:t xml:space="preserve"> </w:t>
      </w:r>
      <w:r>
        <w:t xml:space="preserve">“</w:t>
      </w:r>
      <w:r>
        <w:t xml:space="preserve">однократное гаммирование</w:t>
      </w:r>
      <w:r>
        <w:t xml:space="preserve">”</w:t>
      </w:r>
      <w:r>
        <w:t xml:space="preserve">, держа в уме все вышесказанное). Обоснование, которое привел Шеннон, основываясь на введенном им же понятии информации, не дает возможности усомниться в этом - из-за равных априорных вероятностей криптоаналитик не может сказать о дешифровке, верна она или нет. Кроме того, даже раскрыв часть сообщения, дешифровщик не сможет хоть сколько нибудь поправить положение - информация о вскрытом участке гаммы не дает информации об остальных ее частях.</w:t>
      </w:r>
    </w:p>
    <w:bookmarkEnd w:id="22"/>
    <w:bookmarkStart w:id="29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Импортируем все необходимые библиотеки и пишем функцию генерирования ключа, а также функцию гаммирования. (Рис. 1).</w:t>
      </w:r>
    </w:p>
    <w:p>
      <w:pPr>
        <w:pStyle w:val="CaptionedFigure"/>
      </w:pPr>
      <w:bookmarkStart w:id="24" w:name="fig:001"/>
      <w:r>
        <w:drawing>
          <wp:inline>
            <wp:extent cx="5334000" cy="1038014"/>
            <wp:effectExtent b="0" l="0" r="0" t="0"/>
            <wp:docPr descr="Figure 1: Импорт библиотек и написание функций" title="" id="1" name="Picture"/>
            <a:graphic>
              <a:graphicData uri="http://schemas.openxmlformats.org/drawingml/2006/picture">
                <pic:pic>
                  <pic:nvPicPr>
                    <pic:cNvPr descr="image/report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Импорт библиотек и написание функций</w:t>
      </w:r>
    </w:p>
    <w:p>
      <w:pPr>
        <w:numPr>
          <w:ilvl w:val="0"/>
          <w:numId w:val="1002"/>
        </w:numPr>
        <w:pStyle w:val="Compact"/>
      </w:pPr>
      <w:r>
        <w:t xml:space="preserve">Генерируем случайный ключ, а затем определяем вид шифротекстов С1 и С2 при известном ключе и известном открытом тексте. (Рис. 2).</w:t>
      </w:r>
    </w:p>
    <w:p>
      <w:pPr>
        <w:pStyle w:val="CaptionedFigure"/>
      </w:pPr>
      <w:bookmarkStart w:id="26" w:name="fig:002"/>
      <w:r>
        <w:drawing>
          <wp:inline>
            <wp:extent cx="5148302" cy="1659751"/>
            <wp:effectExtent b="0" l="0" r="0" t="0"/>
            <wp:docPr descr="Figure 2: Шифрование открытого текста" title="" id="1" name="Picture"/>
            <a:graphic>
              <a:graphicData uri="http://schemas.openxmlformats.org/drawingml/2006/picture">
                <pic:pic>
                  <pic:nvPicPr>
                    <pic:cNvPr descr="image/report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302" cy="1659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Шифрование открытого текста</w:t>
      </w:r>
    </w:p>
    <w:p>
      <w:pPr>
        <w:numPr>
          <w:ilvl w:val="0"/>
          <w:numId w:val="1003"/>
        </w:numPr>
        <w:pStyle w:val="Compact"/>
      </w:pPr>
      <w:r>
        <w:t xml:space="preserve">Применяем функцию</w:t>
      </w:r>
      <w:r>
        <w:t xml:space="preserve"> </w:t>
      </w:r>
      <w:r>
        <w:t xml:space="preserve">“</w:t>
      </w:r>
      <w:r>
        <w:t xml:space="preserve">gamming</w:t>
      </w:r>
      <w:r>
        <w:t xml:space="preserve">”</w:t>
      </w:r>
      <w:r>
        <w:t xml:space="preserve"> </w:t>
      </w:r>
      <w:r>
        <w:t xml:space="preserve">к полученным шифрам, а затем еще и к одному из открытых текстов, чтобы получить другой, неизвестный открырй текст (Рис. 3).</w:t>
      </w:r>
    </w:p>
    <w:p>
      <w:pPr>
        <w:pStyle w:val="CaptionedFigure"/>
      </w:pPr>
      <w:bookmarkStart w:id="28" w:name="fig:003"/>
      <w:r>
        <w:drawing>
          <wp:inline>
            <wp:extent cx="4233902" cy="1751959"/>
            <wp:effectExtent b="0" l="0" r="0" t="0"/>
            <wp:docPr descr="Figure 3: Определение открытых текстов" title="" id="1" name="Picture"/>
            <a:graphic>
              <a:graphicData uri="http://schemas.openxmlformats.org/drawingml/2006/picture">
                <pic:pic>
                  <pic:nvPicPr>
                    <pic:cNvPr descr="image/report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902" cy="1751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Определение открытых текстов</w:t>
      </w:r>
    </w:p>
    <w:bookmarkEnd w:id="29"/>
    <w:bookmarkStart w:id="30" w:name="ответы-на-котнрольные-вопросы"/>
    <w:p>
      <w:pPr>
        <w:pStyle w:val="Heading1"/>
      </w:pPr>
      <w:r>
        <w:t xml:space="preserve">Ответы на котнрольные вопросы</w:t>
      </w:r>
    </w:p>
    <w:p>
      <w:pPr>
        <w:numPr>
          <w:ilvl w:val="0"/>
          <w:numId w:val="1004"/>
        </w:numPr>
      </w:pPr>
      <w:r>
        <w:t xml:space="preserve">Необходимо прогаммировать один шифротекст вторым, а после прогаммировать результат одним из исходных текстов. Таким образом мы получим другой исходный текст.</w:t>
      </w:r>
    </w:p>
    <w:p>
      <w:pPr>
        <w:numPr>
          <w:ilvl w:val="0"/>
          <w:numId w:val="1004"/>
        </w:numPr>
      </w:pPr>
      <w:r>
        <w:t xml:space="preserve">Мы из шифрованного текста обратно получим исходный нешифрованный..</w:t>
      </w:r>
    </w:p>
    <w:p>
      <w:pPr>
        <w:numPr>
          <w:ilvl w:val="0"/>
          <w:numId w:val="1004"/>
        </w:numPr>
      </w:pPr>
      <w:r>
        <w:t xml:space="preserve">Поочередно гаммируем каждый текст одним ключом.</w:t>
      </w:r>
    </w:p>
    <w:p>
      <w:pPr>
        <w:numPr>
          <w:ilvl w:val="0"/>
          <w:numId w:val="1004"/>
        </w:numPr>
      </w:pPr>
      <w:r>
        <w:t xml:space="preserve">Подверженность взлому, шифр становится абсолютно вскрываемым. При утечке же хотя бы части одного из исходных текстов злоумышленник сможет расшифровать все тексты.</w:t>
      </w:r>
    </w:p>
    <w:p>
      <w:pPr>
        <w:numPr>
          <w:ilvl w:val="0"/>
          <w:numId w:val="1004"/>
        </w:numPr>
      </w:pPr>
      <w:r>
        <w:t xml:space="preserve">Можно сократить издержки по доставке ключей сторонам, либо вообще исключить их, если ключ использовать все время.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данной работы было освоено на практике применение режима однократного гаммирования на примере кодирования различных исходных текстов одним ключом</w:t>
      </w:r>
    </w:p>
    <w:bookmarkEnd w:id="31"/>
    <w:bookmarkStart w:id="32" w:name="библиографический-список"/>
    <w:p>
      <w:pPr>
        <w:pStyle w:val="Heading1"/>
      </w:pPr>
      <w:r>
        <w:t xml:space="preserve">Библиографический список</w:t>
      </w:r>
    </w:p>
    <w:p>
      <w:pPr>
        <w:numPr>
          <w:ilvl w:val="0"/>
          <w:numId w:val="1005"/>
        </w:numPr>
      </w:pPr>
      <w:r>
        <w:t xml:space="preserve">Острейковский В. А. Информатика: учеб. для вузов / В. А. Острейковский. - 4-е изд., стер. - М.: Высш. шк., 2007. - 511 с.</w:t>
      </w:r>
    </w:p>
    <w:p>
      <w:pPr>
        <w:numPr>
          <w:ilvl w:val="0"/>
          <w:numId w:val="1005"/>
        </w:numPr>
      </w:pPr>
      <w:r>
        <w:t xml:space="preserve">Алексеев, М. Е. Шифрование методом гаммирования / М. Е. Алексеев // 70-я научно-техническая конференция учащихся, студентов и магистрантов, 15-20 апреля 2019 г., Минск : сборник научных работ : в 4 ч. Ч. 4. - Минск : БГТУ, 2019. - С. 398-401.</w:t>
      </w:r>
    </w:p>
    <w:p>
      <w:pPr>
        <w:numPr>
          <w:ilvl w:val="0"/>
          <w:numId w:val="1005"/>
        </w:numPr>
      </w:pPr>
      <w:r>
        <w:t xml:space="preserve">Прикладные задачи шифрования [Электронный ресурс]. – Режим доступа : http://citforum.ru/internet/securities/cryptobook07.shtml, свободный. – Загл. с экрана.</w:t>
      </w:r>
    </w:p>
    <w:p>
      <w:pPr>
        <w:numPr>
          <w:ilvl w:val="0"/>
          <w:numId w:val="1005"/>
        </w:numPr>
      </w:pPr>
      <w:r>
        <w:t xml:space="preserve">Шифры гаммирования [Электронный ресурс]. – Режим доступа : https://bstudy.net/825827/tehnika/shifry_gammirovaniya, свободный. – Загл. с экрана.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8</dc:title>
  <dc:creator>Аксёнова Алина Владимировна</dc:creator>
  <dc:language>ru-RU</dc:language>
  <cp:keywords/>
  <dcterms:created xsi:type="dcterms:W3CDTF">2021-12-17T20:56:29Z</dcterms:created>
  <dcterms:modified xsi:type="dcterms:W3CDTF">2021-12-17T20:56:29Z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