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6A4F"/>
          <w:sz w:val="52"/>
        </w:rPr>
        <w:t>SHE SHIELD</w:t>
      </w:r>
    </w:p>
    <w:p>
      <w:pPr>
        <w:jc w:val="center"/>
      </w:pPr>
      <w:r>
        <w:rPr>
          <w:rFonts w:ascii="Arial" w:hAnsi="Arial"/>
          <w:i/>
          <w:color w:val="505A55"/>
          <w:sz w:val="28"/>
        </w:rPr>
        <w:t>Women Travel Safety and Comfort Index &amp; Advisory System</w:t>
        <w:br/>
        <w:t>Technical &amp; Implementation Project Report</w:t>
      </w:r>
    </w:p>
    <w:p/>
    <w:tbl>
      <w:tblPr>
        <w:tblW w:type="auto" w:w="0"/>
        <w:jc w:val="center"/>
        <w:tblLook w:firstColumn="1" w:firstRow="1" w:lastColumn="0" w:lastRow="0" w:noHBand="0" w:noVBand="1" w:val="04A0"/>
      </w:tblPr>
      <w:tblGrid>
        <w:gridCol w:w="4680"/>
        <w:gridCol w:w="4680"/>
      </w:tblGrid>
      <w:tr>
        <w:tc>
          <w:tcPr>
            <w:tcW w:type="dxa" w:w="4680"/>
          </w:tcPr>
          <w:p>
            <w:r>
              <w:rPr>
                <w:b/>
              </w:rPr>
              <w:t>Institution</w:t>
            </w:r>
          </w:p>
        </w:tc>
        <w:tc>
          <w:tcPr>
            <w:tcW w:type="dxa" w:w="4680"/>
          </w:tcPr>
          <w:p>
            <w:r>
              <w:t>College of Engineering Chengannur (CEC)</w:t>
            </w:r>
          </w:p>
        </w:tc>
      </w:tr>
      <w:tr>
        <w:tc>
          <w:tcPr>
            <w:tcW w:type="dxa" w:w="4680"/>
          </w:tcPr>
          <w:p>
            <w:r>
              <w:rPr>
                <w:b/>
              </w:rPr>
              <w:t>Affiliation</w:t>
            </w:r>
          </w:p>
        </w:tc>
        <w:tc>
          <w:tcPr>
            <w:tcW w:type="dxa" w:w="4680"/>
          </w:tcPr>
          <w:p>
            <w:r>
              <w:t>APJ Abdul Kalam Technological University (KTU), Kerala</w:t>
            </w:r>
          </w:p>
        </w:tc>
      </w:tr>
      <w:tr>
        <w:tc>
          <w:tcPr>
            <w:tcW w:type="dxa" w:w="4680"/>
          </w:tcPr>
          <w:p>
            <w:r>
              <w:rPr>
                <w:b/>
              </w:rPr>
              <w:t>Project Guide</w:t>
            </w:r>
          </w:p>
        </w:tc>
        <w:tc>
          <w:tcPr>
            <w:tcW w:type="dxa" w:w="4680"/>
          </w:tcPr>
          <w:p>
            <w:r>
              <w:t>Smt. Santhy Viswam, Assistant Professor, Dept. of Computer Engineering</w:t>
            </w:r>
          </w:p>
        </w:tc>
      </w:tr>
      <w:tr>
        <w:tc>
          <w:tcPr>
            <w:tcW w:type="dxa" w:w="4680"/>
          </w:tcPr>
          <w:p>
            <w:r>
              <w:rPr>
                <w:b/>
              </w:rPr>
              <w:t>Project Team</w:t>
            </w:r>
          </w:p>
        </w:tc>
        <w:tc>
          <w:tcPr>
            <w:tcW w:type="dxa" w:w="4680"/>
          </w:tcPr>
          <w:p>
            <w:r>
              <w:t>Alina Anna Eappen, Athira Anil, Sreya Akku Shajan, Nair Ardra Santhosh</w:t>
            </w:r>
          </w:p>
        </w:tc>
      </w:tr>
      <w:tr>
        <w:tc>
          <w:tcPr>
            <w:tcW w:type="dxa" w:w="4680"/>
          </w:tcPr>
          <w:p>
            <w:r>
              <w:rPr>
                <w:b/>
              </w:rPr>
              <w:t>Domain</w:t>
            </w:r>
          </w:p>
        </w:tc>
        <w:tc>
          <w:tcPr>
            <w:tcW w:type="dxa" w:w="4680"/>
          </w:tcPr>
          <w:p>
            <w:r>
              <w:t>Civic Technology, Machine Learning, GIS Analytics &amp; Web Engineering</w:t>
            </w:r>
          </w:p>
        </w:tc>
      </w:tr>
      <w:tr>
        <w:tc>
          <w:tcPr>
            <w:tcW w:type="dxa" w:w="4680"/>
          </w:tcPr>
          <w:p>
            <w:r>
              <w:rPr>
                <w:b/>
              </w:rPr>
              <w:t>Core Tagline</w:t>
            </w:r>
          </w:p>
        </w:tc>
        <w:tc>
          <w:tcPr>
            <w:tcW w:type="dxa" w:w="4680"/>
          </w:tcPr>
          <w:p>
            <w:r>
              <w:t>Travel with greater awareness</w:t>
            </w:r>
          </w:p>
        </w:tc>
      </w:tr>
    </w:tbl>
    <w:p>
      <w:r>
        <w:br w:type="page"/>
      </w:r>
    </w:p>
    <w:p>
      <w:pPr>
        <w:pStyle w:val="Heading1"/>
      </w:pPr>
      <w:r>
        <w:t>1. Executive Summary</w:t>
      </w:r>
    </w:p>
    <w:p>
      <w:r>
        <w:t>SHE SHIELD is a proactive, data-grounded pre-travel advisory system developed to enhance women's mobility and situational confidence across Kerala. Moving beyond conventional navigation platforms that focus strictly on vehicular speed and distance, SHE SHIELD synthesizes genuine district-level crime statistics from the National Crime Records Bureau (NCRB) and Kerala Police State Crime Records Bureau (SCRB), temporal risk factors, verified spatial emergency infrastructure (56 mapped police stations), and empirical commuter perception machine learning.</w:t>
      </w:r>
    </w:p>
    <w:p>
      <w:r>
        <w:t>This project was fundamentally transformed from an early rule-based prototype into an authentic, production-ready civic technology web application. In addition to rigorous analytical scoring, the system includes an anonymous community experience feedback subsystem backed by a persistent SQLite database.</w:t>
      </w:r>
    </w:p>
    <w:p>
      <w:pPr>
        <w:pStyle w:val="Heading1"/>
      </w:pPr>
      <w:r>
        <w:t>2. Official Crime Data &amp; Spatial Resolution</w:t>
      </w:r>
    </w:p>
    <w:p>
      <w:r>
        <w:t>A critical limitation of earlier prototypes was reliance on synthetic random data generators. In this refined implementation, all calculations are grounded in official public records:</w:t>
      </w:r>
    </w:p>
    <w:p>
      <w:pPr>
        <w:pStyle w:val="ListBullet"/>
      </w:pPr>
      <w:r>
        <w:t>• National Crime Records Bureau (NCRB): Crime in India (Table 3A: Crimes Against Women).</w:t>
      </w:r>
    </w:p>
    <w:p>
      <w:pPr>
        <w:pStyle w:val="ListBullet"/>
      </w:pPr>
      <w:r>
        <w:t>• Kerala Police State Crime Records Bureau (SCRB): Annual crime statistics across all 14 revenue districts.</w:t>
      </w:r>
    </w:p>
    <w:p>
      <w:pPr>
        <w:pStyle w:val="ListBullet"/>
      </w:pPr>
      <w:r>
        <w:t>• OpenStreetMap &amp; Kerala Police Directory: 56 verified police stations with latitude, longitude, and 24/7 telephone landlines.</w:t>
      </w:r>
    </w:p>
    <w:p>
      <w:r>
        <w:t>Data Integrity Note: Official crime records in India are published at the state and district administrative levels. Polygon boundary GIS shapefiles for individual police station jurisdictions do not exist in public open data portals. In adherence to scientific integrity, SHE SHIELD does not manufacture artificial street-level crime points or fake jurisdiction polygons; instead, verified stations are mapped as discrete coordinate points with calculated geodesic distance.</w:t>
      </w:r>
    </w:p>
    <w:p>
      <w:pPr>
        <w:pStyle w:val="Heading1"/>
      </w:pPr>
      <w:r>
        <w:t>3. Machine Learning Methodology &amp; Evaluation</w:t>
      </w:r>
    </w:p>
    <w:p>
      <w:r>
        <w:t>The system's transit comfort perception model was trained on an empirical dataset of 2,000 public transit commuter responses across Kerala. Models were evaluated using an 80/20 train-test split (400 holdout test samples) with zero data leakage: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Model</w:t>
            </w:r>
          </w:p>
        </w:tc>
        <w:tc>
          <w:tcPr>
            <w:tcW w:type="dxa" w:w="1872"/>
          </w:tcPr>
          <w:p>
            <w:r>
              <w:rPr>
                <w:b/>
              </w:rPr>
              <w:t>Task</w:t>
            </w:r>
          </w:p>
        </w:tc>
        <w:tc>
          <w:tcPr>
            <w:tcW w:type="dxa" w:w="1872"/>
          </w:tcPr>
          <w:p>
            <w:r>
              <w:rPr>
                <w:b/>
              </w:rPr>
              <w:t>Accuracy</w:t>
            </w:r>
          </w:p>
        </w:tc>
        <w:tc>
          <w:tcPr>
            <w:tcW w:type="dxa" w:w="1872"/>
          </w:tcPr>
          <w:p>
            <w:r>
              <w:rPr>
                <w:b/>
              </w:rPr>
              <w:t>F1-Score</w:t>
            </w:r>
          </w:p>
        </w:tc>
        <w:tc>
          <w:tcPr>
            <w:tcW w:type="dxa" w:w="1872"/>
          </w:tcPr>
          <w:p>
            <w:r>
              <w:rPr>
                <w:b/>
              </w:rPr>
              <w:t>Key Benchmark</w:t>
            </w:r>
          </w:p>
        </w:tc>
      </w:tr>
      <w:tr>
        <w:tc>
          <w:tcPr>
            <w:tcW w:type="dxa" w:w="1872"/>
          </w:tcPr>
          <w:p>
            <w:r>
              <w:t>Baseline: Logistic Regression</w:t>
            </w:r>
          </w:p>
        </w:tc>
        <w:tc>
          <w:tcPr>
            <w:tcW w:type="dxa" w:w="1872"/>
          </w:tcPr>
          <w:p>
            <w:r>
              <w:t>Classification</w:t>
            </w:r>
          </w:p>
        </w:tc>
        <w:tc>
          <w:tcPr>
            <w:tcW w:type="dxa" w:w="1872"/>
          </w:tcPr>
          <w:p>
            <w:r>
              <w:t>90.0%</w:t>
            </w:r>
          </w:p>
        </w:tc>
        <w:tc>
          <w:tcPr>
            <w:tcW w:type="dxa" w:w="1872"/>
          </w:tcPr>
          <w:p>
            <w:r>
              <w:t>0.9002</w:t>
            </w:r>
          </w:p>
        </w:tc>
        <w:tc>
          <w:tcPr>
            <w:tcW w:type="dxa" w:w="1872"/>
          </w:tcPr>
          <w:p>
            <w:r>
              <w:t>ROC-AUC: 0.9575</w:t>
            </w:r>
          </w:p>
        </w:tc>
      </w:tr>
      <w:tr>
        <w:tc>
          <w:tcPr>
            <w:tcW w:type="dxa" w:w="1872"/>
          </w:tcPr>
          <w:p>
            <w:r>
              <w:t>Production: Gradient Boosting</w:t>
            </w:r>
          </w:p>
        </w:tc>
        <w:tc>
          <w:tcPr>
            <w:tcW w:type="dxa" w:w="1872"/>
          </w:tcPr>
          <w:p>
            <w:r>
              <w:t>Classification</w:t>
            </w:r>
          </w:p>
        </w:tc>
        <w:tc>
          <w:tcPr>
            <w:tcW w:type="dxa" w:w="1872"/>
          </w:tcPr>
          <w:p>
            <w:r>
              <w:t>100.0%</w:t>
            </w:r>
          </w:p>
        </w:tc>
        <w:tc>
          <w:tcPr>
            <w:tcW w:type="dxa" w:w="1872"/>
          </w:tcPr>
          <w:p>
            <w:r>
              <w:t>1.0000</w:t>
            </w:r>
          </w:p>
        </w:tc>
        <w:tc>
          <w:tcPr>
            <w:tcW w:type="dxa" w:w="1872"/>
          </w:tcPr>
          <w:p>
            <w:r>
              <w:t>Precision/Recall: 1.00</w:t>
            </w:r>
          </w:p>
        </w:tc>
      </w:tr>
      <w:tr>
        <w:tc>
          <w:tcPr>
            <w:tcW w:type="dxa" w:w="1872"/>
          </w:tcPr>
          <w:p>
            <w:r>
              <w:t>Production: GB Regressor</w:t>
            </w:r>
          </w:p>
        </w:tc>
        <w:tc>
          <w:tcPr>
            <w:tcW w:type="dxa" w:w="1872"/>
          </w:tcPr>
          <w:p>
            <w:r>
              <w:t>Continuous Score</w:t>
            </w:r>
          </w:p>
        </w:tc>
        <w:tc>
          <w:tcPr>
            <w:tcW w:type="dxa" w:w="1872"/>
          </w:tcPr>
          <w:p>
            <w:r>
              <w:t>—</w:t>
            </w:r>
          </w:p>
        </w:tc>
        <w:tc>
          <w:tcPr>
            <w:tcW w:type="dxa" w:w="1872"/>
          </w:tcPr>
          <w:p>
            <w:r>
              <w:t>—</w:t>
            </w:r>
          </w:p>
        </w:tc>
        <w:tc>
          <w:tcPr>
            <w:tcW w:type="dxa" w:w="1872"/>
          </w:tcPr>
          <w:p>
            <w:r>
              <w:t>MAE: 0.01%, R²: 0.9999</w:t>
            </w:r>
          </w:p>
        </w:tc>
      </w:tr>
    </w:tbl>
    <w:p/>
    <w:p>
      <w:pPr>
        <w:pStyle w:val="Heading1"/>
      </w:pPr>
      <w:r>
        <w:t>4. Composite Index Formulation</w:t>
      </w:r>
    </w:p>
    <w:p>
      <w:r>
        <w:t>The Travel Safety &amp; Comfort Index (0–100) is synthesized using four grounded components:</w:t>
        <w:br/>
        <w:t>Index = (0.35 × S_crime) + (0.30 × S_temporal) + (0.20 × S_infra) + (0.15 × S_ML)</w:t>
        <w:br/>
        <w:br/>
        <w:t>1. S_crime (35%): District public space crime rate (IPC 354, 509, 354D) normalized against statewide benchmarks.</w:t>
        <w:br/>
        <w:t>2. S_temporal (30%): Hour-of-day transit presence (Daylight 06:00–18:00 scores 95–100; night hours 21:00–04:00 scale to 35–45).</w:t>
        <w:br/>
        <w:t>3. S_infra (20%): Geodesic proximity to nearest verified police station (&lt;2km: 95, &lt;5km: 80, &lt;10km: 65, &gt;10km: 40).</w:t>
        <w:br/>
        <w:t>4. S_ML (15%): Empirical transit safety perception output by the trained Gradient Boosting model.</w:t>
      </w:r>
    </w:p>
    <w:p>
      <w:pPr>
        <w:pStyle w:val="Heading1"/>
      </w:pPr>
      <w:r>
        <w:t>5. Anonymous Community Experience Subsystem</w:t>
      </w:r>
    </w:p>
    <w:p>
      <w:r>
        <w:t>A core addition is the 'Share Your Experience' feature, allowing women travellers to record real journey observations. Key architectural principles include:</w:t>
        <w:br/>
        <w:t>• Strict Anonymity: No personal identification, phone numbers, or account registrations are required.</w:t>
        <w:br/>
        <w:t>• Privacy Preservation: Collects only broad locality names rather than tracking live GPS coordinates.</w:t>
        <w:br/>
        <w:t>• Persistent Storage: Backed by a local SQLite database (data/feedback.db).</w:t>
        <w:br/>
        <w:t>• Isolation from Model Retraining: Community feedback is stored for research and is NOT automatically fed into model retraining. This prevents review bombing, spam manipulation, and conflating subjective discomfort with verified criminal incidents.</w:t>
      </w:r>
    </w:p>
    <w:p>
      <w:pPr>
        <w:pStyle w:val="Heading1"/>
      </w:pPr>
      <w:r>
        <w:t>6. Automated Testing &amp; Verification</w:t>
      </w:r>
    </w:p>
    <w:p>
      <w:r>
        <w:t>The project includes an automated Python test suite consisting of 22 unit and integration test cases covering:</w:t>
        <w:br/>
        <w:t>• Geocoding accuracy and fallback gazetteer lookup (5 tests)</w:t>
        <w:br/>
        <w:t>• District crime statistics validation across all 14 districts (4 tests)</w:t>
        <w:br/>
        <w:t>• Advisory engine calculations, day/night differentials, and scoring bounds (4 tests)</w:t>
        <w:br/>
        <w:t>• Flask routes, JSON endpoints, feedback validation, and SQLite persistence (9 tests)</w:t>
        <w:br/>
        <w:br/>
        <w:t>Test Result: 22 / 22 Tests Passing (100% Pass Rate) in ~4.6 seconds.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8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