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b/>
          <w:bCs/>
          <w:sz w:val="26"/>
          <w:szCs w:val="26"/>
        </w:rPr>
        <w:t xml:space="preserve">Perceived Internet Addiction, Not Hours Online, Tracks Adolescent Depression and Loneliness</w:t>
      </w:r>
    </w:p>
    <w:p>
      <w:pPr>
        <w:spacing w:after="25"/>
        <w:jc w:val="center"/>
      </w:pPr>
      <w:r>
        <w:rPr>
          <w:i/>
          <w:iCs/>
          <w:color w:val="555555"/>
          <w:sz w:val="18"/>
          <w:szCs w:val="18"/>
        </w:rPr>
        <w:t xml:space="preserve">A confounder-adjusted, effect-size-based analysis of 819 adolescents</w:t>
      </w:r>
    </w:p>
    <w:p>
      <w:pPr>
        <w:spacing w:after="50"/>
        <w:jc w:val="center"/>
      </w:pPr>
      <w:r>
        <w:rPr>
          <w:sz w:val="17"/>
          <w:szCs w:val="17"/>
        </w:rPr>
        <w:t xml:space="preserve">Noam Avizmil, Tomer Golshani, May Mandalaoui, Alina Kozitzyna</w:t>
      </w:r>
    </w:p>
    <w:p>
      <w:pPr>
        <w:spacing w:after="80"/>
        <w:jc w:val="center"/>
      </w:pPr>
      <w:r>
        <w:rPr>
          <w:b/>
          <w:bCs/>
          <w:sz w:val="16"/>
          <w:szCs w:val="16"/>
        </w:rPr>
        <w:t xml:space="preserve">Code: </w:t>
      </w:r>
      <w:r>
        <w:rPr>
          <w:color w:val="2E6FB7"/>
          <w:sz w:val="16"/>
          <w:szCs w:val="16"/>
        </w:rPr>
        <w:t xml:space="preserve">github.com/AlinaKozitsyn/DataAnalysisFinal</w:t>
      </w:r>
      <w:r>
        <w:rPr>
          <w:b/>
          <w:bCs/>
          <w:sz w:val="16"/>
          <w:szCs w:val="16"/>
        </w:rPr>
        <w:t xml:space="preserve">   ·   Data: </w:t>
      </w:r>
      <w:r>
        <w:rPr>
          <w:color w:val="C00000"/>
          <w:sz w:val="16"/>
          <w:szCs w:val="16"/>
        </w:rPr>
        <w:t xml:space="preserve">[Google-Drive data-folder link]</w:t>
      </w:r>
    </w:p>
    <w:p>
      <w:pPr>
        <w:pStyle w:val="Heading1"/>
        <w:spacing w:after="60" w:before="130"/>
      </w:pPr>
      <w:r>
        <w:t xml:space="preserve">1. Introduction</w:t>
      </w:r>
    </w:p>
    <w:p>
      <w:pPr>
        <w:spacing w:after="80" w:line="248"/>
        <w:jc w:val="both"/>
      </w:pPr>
      <w:r>
        <w:rPr>
          <w:sz w:val="19"/>
          <w:szCs w:val="19"/>
        </w:rPr>
        <w:t xml:space="preserve">Adolescent internet use is widely linked to depression and loneliness, but most studies collapse “use” into raw daily hours and treat time online and “internet addiction” as interchangeable. They are not: two teens with identical hours often differ sharply in whether they feel unable to stop. </w:t>
      </w:r>
      <w:r>
        <w:rPr>
          <w:sz w:val="19"/>
          <w:szCs w:val="19"/>
        </w:rPr>
        <w:t xml:space="preserve">We therefore frame the analysis as estimating the effect of one exposure—perceived problematic use (IAT)—on two outcomes (depression, loneliness), and ask whether raw quantity of use carries any independent signal once addiction is accounted for. </w:t>
      </w:r>
      <w:r>
        <w:rPr>
          <w:i/>
          <w:iCs/>
          <w:sz w:val="19"/>
          <w:szCs w:val="19"/>
        </w:rPr>
        <w:t xml:space="preserve">Why it matters: </w:t>
      </w:r>
      <w:r>
        <w:rPr>
          <w:sz w:val="19"/>
          <w:szCs w:val="19"/>
        </w:rPr>
        <w:t xml:space="preserve">if hours drive harm, the policy lever is time caps; if perceived addiction drives it, the lever is psychological (education, healthier-use habits), independent of hours. Prior work (Khalaf et al., 2023; Riehm et al., 2019; Kuss &amp; Griffiths, 2017) finds modest but consistent links and that problematic use tends to outweigh raw time, yet rarely separates the two in one model or controls offline buffers; gender and low physical activity are known correlates of both (Gupta et al., 2018). </w:t>
      </w:r>
      <w:r>
        <w:rPr>
          <w:b/>
          <w:bCs/>
          <w:sz w:val="19"/>
          <w:szCs w:val="19"/>
        </w:rPr>
        <w:t xml:space="preserve">Our contribution</w:t>
      </w:r>
      <w:r>
        <w:rPr>
          <w:sz w:val="19"/>
          <w:szCs w:val="19"/>
        </w:rPr>
        <w:t xml:space="preserve"> is rigour rather than a new dataset: a DAG-justified confounder set, standardized effect sizes with confidence intervals, an E-value for unmeasured confounding, instrument reliability from item-level data, and an honest treatment of a severely floor-constrained hours measure via an equivalence test. We pre-specify IAT→depression as primary and IAT→loneliness as secondary; we hypothesised perceived addiction would dominate hours.</w:t>
      </w:r>
    </w:p>
    <w:p>
      <w:pPr>
        <w:pStyle w:val="Heading1"/>
        <w:spacing w:after="60" w:before="130"/>
      </w:pPr>
      <w:r>
        <w:t xml:space="preserve">2. Data</w:t>
      </w:r>
    </w:p>
    <w:p>
      <w:pPr>
        <w:spacing w:after="80" w:line="248"/>
        <w:jc w:val="both"/>
      </w:pPr>
      <w:r>
        <w:rPr>
          <w:sz w:val="19"/>
          <w:szCs w:val="19"/>
        </w:rPr>
        <w:t xml:space="preserve">Each row is one of </w:t>
      </w:r>
      <w:r>
        <w:rPr>
          <w:b/>
          <w:bCs/>
          <w:sz w:val="19"/>
          <w:szCs w:val="19"/>
        </w:rPr>
        <w:t xml:space="preserve">819 school students</w:t>
      </w:r>
      <w:r>
        <w:rPr>
          <w:sz w:val="19"/>
          <w:szCs w:val="19"/>
        </w:rPr>
        <w:t xml:space="preserve"> aged 13–19 (mean 15.8; 534 female, 285 male), no missing values </w:t>
      </w:r>
      <w:r>
        <w:rPr>
          <w:b/>
          <w:bCs/>
          <w:color w:val="C00000"/>
          <w:sz w:val="19"/>
          <w:szCs w:val="19"/>
        </w:rPr>
        <w:t xml:space="preserve">[data source to be confirmed by the authors]</w:t>
      </w:r>
      <w:r>
        <w:rPr>
          <w:sz w:val="19"/>
          <w:szCs w:val="19"/>
        </w:rPr>
        <w:t xml:space="preserve">. This is a single convenience sample, not claimed to be representative. Every construct is a </w:t>
      </w:r>
      <w:r>
        <w:rPr>
          <w:b/>
          <w:bCs/>
          <w:sz w:val="19"/>
          <w:szCs w:val="19"/>
        </w:rPr>
        <w:t xml:space="preserve">validated multi-item instrument</w:t>
      </w:r>
      <w:r>
        <w:rPr>
          <w:sz w:val="19"/>
          <w:szCs w:val="19"/>
        </w:rPr>
        <w:t xml:space="preserve"> with good internal consistency (Cronbach’s α / McDonald’s ω): perceived addiction via the 20-item IAT (α = ω = .93), depression via PHQ-9 (α = .77, ω = .78), loneliness via the 20-item UCLA scale (α = .72, ω = .68—adequate but the weakest, so loneliness findings are read more cautiously). Quantity of use is a single, coarse, ordinal self-report item—a </w:t>
      </w:r>
      <w:r>
        <w:rPr>
          <w:b/>
          <w:bCs/>
          <w:sz w:val="19"/>
          <w:szCs w:val="19"/>
        </w:rPr>
        <w:t xml:space="preserve">measurement asymmetry</w:t>
      </w:r>
      <w:r>
        <w:rPr>
          <w:sz w:val="19"/>
          <w:szCs w:val="19"/>
        </w:rPr>
        <w:t xml:space="preserve"> we return to. The prediction target, clinically-significant depression (PHQ-9 ≥ 10), is balanced (301/819 = 37%).</w:t>
      </w:r>
    </w:p>
    <w:p>
      <w:pPr>
        <w:pStyle w:val="Heading1"/>
        <w:spacing w:after="60" w:before="130"/>
      </w:pPr>
      <w:r>
        <w:t xml:space="preserve">3. Methods and Results</w:t>
      </w:r>
    </w:p>
    <w:p>
      <w:pPr>
        <w:spacing w:after="80" w:line="248"/>
        <w:jc w:val="both"/>
      </w:pPr>
      <w:r>
        <w:rPr>
          <w:b/>
          <w:bCs/>
          <w:sz w:val="19"/>
          <w:szCs w:val="19"/>
        </w:rPr>
        <w:t xml:space="preserve">Identification. </w:t>
      </w:r>
      <w:r>
        <w:rPr>
          <w:sz w:val="19"/>
          <w:szCs w:val="19"/>
        </w:rPr>
        <w:t xml:space="preserve">We encoded a causal DAG (Appendix A) and used the back-door criterion (dagitty) to select a minimal sufficient set for the total effect of IAT: {age, gender, bullied, physical activity}. Sleep is modelled as a mediator (IAT→sleep→mood) and excluded from the total-effect set; friendship quality, a likely mediator/collider, enters only a direct-effect sensitivity model. Control coefficients are treated as nuisance parameters, not causal effects (the Table-2 fallacy; Westreich &amp; Greenland, 2013). Estimates use the full sample with HC3 robust standard errors (Long &amp; Ervin, 2000).</w:t>
      </w:r>
    </w:p>
    <w:p>
      <w:pPr>
        <w:spacing w:after="80" w:line="248"/>
        <w:jc w:val="both"/>
      </w:pPr>
      <w:r>
        <w:rPr>
          <w:b/>
          <w:bCs/>
          <w:sz w:val="19"/>
          <w:szCs w:val="19"/>
        </w:rPr>
        <w:t xml:space="preserve">Primary effects. </w:t>
      </w:r>
      <w:r>
        <w:rPr>
          <w:sz w:val="19"/>
          <w:szCs w:val="19"/>
        </w:rPr>
        <w:t xml:space="preserve">Perceived addiction is strongly associated with depression: adjusted standardized β = 0.51 (95% CI 0.44–0.57, p &lt; 10⁻⁵⁰), barely moved from the unadjusted 0.53, with a large incremental effect (ΔR² = 0.22, Cohen’s f² = 0.31) confirmed by a nested-model F(1,813) = 255. A bootstrap BCa interval [0.44, 0.57] and a direct-effect model adding sleep and friendships (β = 0.50) agree. The </w:t>
      </w:r>
      <w:r>
        <w:rPr>
          <w:b/>
          <w:bCs/>
          <w:sz w:val="19"/>
          <w:szCs w:val="19"/>
        </w:rPr>
        <w:t xml:space="preserve">E-value is 2.55</w:t>
      </w:r>
      <w:r>
        <w:rPr>
          <w:sz w:val="19"/>
          <w:szCs w:val="19"/>
        </w:rPr>
        <w:t xml:space="preserve"> (2.35 at the CI bound): an unmeasured confounder would need associations of RR ≈ 2.6 with both IAT and depression to explain this away—substantial robustness. IAT→loneliness is weaker but clear (β = 0.29, CI 0.22–0.36; f² = 0.08; E-value 1.92), and good friendships are independently protective (β = −0.29, p = .002). Figure 1 summarises the effect sizes.</w:t>
      </w:r>
    </w:p>
    <w:p>
      <w:pPr>
        <w:spacing w:after="25" w:before="50"/>
        <w:jc w:val="center"/>
      </w:pPr>
      <w:r>
        <w:drawing>
          <wp:inline distT="0" distB="0" distL="0" distR="0">
            <wp:extent cx="3810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857375"/>
                    </a:xfrm>
                    <a:prstGeom prst="rect">
                      <a:avLst/>
                    </a:prstGeom>
                  </pic:spPr>
                </pic:pic>
              </a:graphicData>
            </a:graphic>
          </wp:inline>
        </w:drawing>
      </w:r>
    </w:p>
    <w:p>
      <w:pPr>
        <w:spacing w:after="110"/>
        <w:jc w:val="center"/>
      </w:pPr>
      <w:r>
        <w:rPr>
          <w:b/>
          <w:bCs/>
          <w:sz w:val="15"/>
          <w:szCs w:val="15"/>
        </w:rPr>
        <w:t xml:space="preserve">Figure 1. </w:t>
      </w:r>
      <w:r>
        <w:rPr>
          <w:i/>
          <w:iCs/>
          <w:sz w:val="15"/>
          <w:szCs w:val="15"/>
        </w:rPr>
        <w:t xml:space="preserve">Standardized effects with 95% CIs. IAT effects are large and bounded away from zero; the raw-hours effect lies entirely within the ±0.1 equivalence band; good friendships are protective for loneliness.</w:t>
      </w:r>
    </w:p>
    <w:p>
      <w:pPr>
        <w:spacing w:after="80" w:line="248"/>
        <w:jc w:val="both"/>
      </w:pPr>
      <w:r>
        <w:rPr>
          <w:b/>
          <w:bCs/>
          <w:sz w:val="19"/>
          <w:szCs w:val="19"/>
        </w:rPr>
        <w:t xml:space="preserve">Raw hours — a precisely estimated null under a floor effect. </w:t>
      </w:r>
      <w:r>
        <w:rPr>
          <w:sz w:val="19"/>
          <w:szCs w:val="19"/>
        </w:rPr>
        <w:t xml:space="preserve">In the same model, linear social-media hours is negligible (β = −0.03) and an equivalence test (TOST, 90% CI [−0.09, 0.04]) shows it is statistically </w:t>
      </w:r>
      <w:r>
        <w:rPr>
          <w:i/>
          <w:iCs/>
          <w:sz w:val="19"/>
          <w:szCs w:val="19"/>
        </w:rPr>
        <w:t xml:space="preserve">equivalent to zero</w:t>
      </w:r>
      <w:r>
        <w:rPr>
          <w:sz w:val="19"/>
          <w:szCs w:val="19"/>
        </w:rPr>
        <w:t xml:space="preserve"> within a ±0.1 SESOI—a precisely estimated null, not mere non-significance. But this must not be over-read: the exposure is severely floor-constrained (62% of students in the lowest social-media band, 84% for internet; Terwee et al., 2007), which restricts range and guts power. Indeed, a flexible ordinal coding of the buckets is jointly significant (F(4,809) = 5.69, p &lt; .001), revealing a weak, non-linear signal the linear term misses. The honest conclusion is that quantity of use carries little and the available measure is too coarse to test the screen-time hypothesis—not that hours are irrelevant. IAT’s effect (≈ 0.51) is unchanged across every coding. Disattenuating for measurement error, the IAT–depression correlation rises from .53 to .62, so the asymmetry biases against IAT, not for it.</w:t>
      </w:r>
    </w:p>
    <w:p>
      <w:pPr>
        <w:spacing w:after="80" w:line="248"/>
        <w:jc w:val="both"/>
      </w:pPr>
      <w:r>
        <w:rPr>
          <w:b/>
          <w:bCs/>
          <w:sz w:val="19"/>
          <w:szCs w:val="19"/>
        </w:rPr>
        <w:t xml:space="preserve">Prediction and severity. </w:t>
      </w:r>
      <w:r>
        <w:rPr>
          <w:sz w:val="19"/>
          <w:szCs w:val="19"/>
        </w:rPr>
        <w:t xml:space="preserve">A logistic model for clinically-significant depression gives IAT OR = 2.89 (95% CI 2.34–3.57) with raw hours non-significant (OR 0.90). Discrimination is good and honestly estimated: AUC = 0.78 (DeLong 95% CI 0.74–0.81; repeated 10×10-fold CV AUC = 0.77, 0.64–0.88), with acceptable calibration (Hosmer-Lemeshow p = .05; Appendix C) and no separation. A proportional-odds model over the five PHQ severity bands agrees (IAT OR = 2.85, p &lt; 10⁻³⁵). All three primary results survive Benjamini-Hochberg correction, and no observation is influential (max Cook’s D = 0.03).</w:t>
      </w:r>
    </w:p>
    <w:p>
      <w:pPr>
        <w:spacing w:after="80" w:line="248"/>
        <w:jc w:val="both"/>
      </w:pPr>
      <w:r>
        <w:rPr>
          <w:b/>
          <w:bCs/>
          <w:sz w:val="19"/>
          <w:szCs w:val="19"/>
        </w:rPr>
        <w:t xml:space="preserve">Recommendation we stand behind. </w:t>
      </w:r>
      <w:r>
        <w:rPr>
          <w:sz w:val="19"/>
          <w:szCs w:val="19"/>
        </w:rPr>
        <w:t xml:space="preserve">For this population, screen-time caps alone are unlikely to help; school digital-wellbeing policy should target dependency-style use and strengthen offline relationships. We make no causal claim (Section 4).</w:t>
      </w:r>
    </w:p>
    <w:p>
      <w:pPr>
        <w:pStyle w:val="Heading1"/>
        <w:spacing w:after="60" w:before="130"/>
      </w:pPr>
      <w:r>
        <w:t xml:space="preserve">4. Limitations and Future Work</w:t>
      </w:r>
    </w:p>
    <w:p>
      <w:pPr>
        <w:spacing w:after="80" w:line="248"/>
        <w:jc w:val="both"/>
      </w:pPr>
      <w:r>
        <w:rPr>
          <w:sz w:val="19"/>
          <w:szCs w:val="19"/>
        </w:rPr>
        <w:t xml:space="preserve">The data are cross-sectional and self-reported, so we show association, not causation; common-method variance may inflate the IAT–depression link (a bias opposite in sign to the hours floor effect, so both are acknowledged). The sample is non-representative, the UCLA scale’s reliability is only adequate (ω = .68), and dominant confounders—sleep quality, prior diagnoses, socioeconomic status—are unmeasured, though the E-value shows the depression result tolerates moderate unmeasured confounding. With one month we would add longitudinal-style robustness and device-measured screen time to escape the floor effect; with three, a representative and ideally longitudinal sample to test replication and the direction of effect.</w:t>
      </w:r>
    </w:p>
    <w:p>
      <w:r>
        <w:br w:type="page"/>
      </w:r>
    </w:p>
    <w:p>
      <w:pPr>
        <w:pStyle w:val="Heading1"/>
        <w:spacing w:after="60" w:before="130"/>
      </w:pPr>
      <w:r>
        <w:t xml:space="preserve">Appendix</w:t>
      </w:r>
    </w:p>
    <w:p>
      <w:pPr>
        <w:pStyle w:val="Heading2"/>
        <w:spacing w:after="60" w:before="130"/>
      </w:pPr>
      <w:r>
        <w:t xml:space="preserve">A. Causal model and adjustment set</w:t>
      </w:r>
    </w:p>
    <w:p>
      <w:pPr>
        <w:spacing w:after="25" w:before="50"/>
        <w:jc w:val="center"/>
      </w:pPr>
      <w:r>
        <w:drawing>
          <wp:inline distT="0" distB="0" distL="0" distR="0">
            <wp:extent cx="40957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90775"/>
                    </a:xfrm>
                    <a:prstGeom prst="rect">
                      <a:avLst/>
                    </a:prstGeom>
                  </pic:spPr>
                </pic:pic>
              </a:graphicData>
            </a:graphic>
          </wp:inline>
        </w:drawing>
      </w:r>
    </w:p>
    <w:p>
      <w:pPr>
        <w:spacing w:after="110"/>
        <w:jc w:val="center"/>
      </w:pPr>
      <w:r>
        <w:rPr>
          <w:b/>
          <w:bCs/>
          <w:sz w:val="15"/>
          <w:szCs w:val="15"/>
        </w:rPr>
        <w:t xml:space="preserve">Figure 2. </w:t>
      </w:r>
      <w:r>
        <w:rPr>
          <w:i/>
          <w:iCs/>
          <w:sz w:val="15"/>
          <w:szCs w:val="15"/>
        </w:rPr>
        <w:t xml:space="preserve">Figure A1. DAG. Back-door adjustment set for the total effect of IAT = {age, gender, bullied, physical activity}; sleep is a mediator and excluded.</w:t>
      </w:r>
    </w:p>
    <w:p>
      <w:pPr>
        <w:pStyle w:val="Heading2"/>
        <w:spacing w:after="60" w:before="130"/>
      </w:pPr>
      <w:r>
        <w:t xml:space="preserve">B. Measurement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180"/>
        <w:gridCol w:w="2180"/>
      </w:tblGrid>
      <w:tr>
        <w:tc>
          <w:tcPr>
            <w:tcW w:type="dxa" w:w="340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left"/>
            </w:pPr>
            <w:r>
              <w:rPr>
                <w:b/>
                <w:bCs/>
                <w:color w:val="FFFFFF"/>
                <w:sz w:val="16"/>
                <w:szCs w:val="16"/>
              </w:rPr>
              <w:t xml:space="preserve">Scale</w:t>
            </w:r>
          </w:p>
        </w:tc>
        <w:tc>
          <w:tcPr>
            <w:tcW w:type="dxa" w:w="160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center"/>
            </w:pPr>
            <w:r>
              <w:rPr>
                <w:b/>
                <w:bCs/>
                <w:color w:val="FFFFFF"/>
                <w:sz w:val="16"/>
                <w:szCs w:val="16"/>
              </w:rPr>
              <w:t xml:space="preserve">Items</w:t>
            </w:r>
          </w:p>
        </w:tc>
        <w:tc>
          <w:tcPr>
            <w:tcW w:type="dxa" w:w="218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center"/>
            </w:pPr>
            <w:r>
              <w:rPr>
                <w:b/>
                <w:bCs/>
                <w:color w:val="FFFFFF"/>
                <w:sz w:val="16"/>
                <w:szCs w:val="16"/>
              </w:rPr>
              <w:t xml:space="preserve">Cronbach α</w:t>
            </w:r>
          </w:p>
        </w:tc>
        <w:tc>
          <w:tcPr>
            <w:tcW w:type="dxa" w:w="218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center"/>
            </w:pPr>
            <w:r>
              <w:rPr>
                <w:b/>
                <w:bCs/>
                <w:color w:val="FFFFFF"/>
                <w:sz w:val="16"/>
                <w:szCs w:val="16"/>
              </w:rPr>
              <w:t xml:space="preserve">McDonald ω</w:t>
            </w:r>
          </w:p>
        </w:tc>
      </w:tr>
      <w:tr>
        <w:tc>
          <w:tcPr>
            <w:tcW w:type="dxa" w:w="34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left"/>
            </w:pPr>
            <w:r>
              <w:rPr>
                <w:b w:val="false"/>
                <w:bCs w:val="false"/>
                <w:color w:val="000000"/>
                <w:sz w:val="16"/>
                <w:szCs w:val="16"/>
              </w:rPr>
              <w:t xml:space="preserve">IAT (addiction)</w:t>
            </w:r>
          </w:p>
        </w:tc>
        <w:tc>
          <w:tcPr>
            <w:tcW w:type="dxa" w:w="16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20</w:t>
            </w:r>
          </w:p>
        </w:tc>
        <w:tc>
          <w:tcPr>
            <w:tcW w:type="dxa" w:w="218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.932</w:t>
            </w:r>
          </w:p>
        </w:tc>
        <w:tc>
          <w:tcPr>
            <w:tcW w:type="dxa" w:w="218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.932</w:t>
            </w:r>
          </w:p>
        </w:tc>
      </w:tr>
      <w:tr>
        <w:tc>
          <w:tcPr>
            <w:tcW w:type="dxa" w:w="34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left"/>
            </w:pPr>
            <w:r>
              <w:rPr>
                <w:b w:val="false"/>
                <w:bCs w:val="false"/>
                <w:color w:val="000000"/>
                <w:sz w:val="16"/>
                <w:szCs w:val="16"/>
              </w:rPr>
              <w:t xml:space="preserve">PHQ-9 (depression)</w:t>
            </w:r>
          </w:p>
        </w:tc>
        <w:tc>
          <w:tcPr>
            <w:tcW w:type="dxa" w:w="16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9</w:t>
            </w:r>
          </w:p>
        </w:tc>
        <w:tc>
          <w:tcPr>
            <w:tcW w:type="dxa" w:w="218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.770</w:t>
            </w:r>
          </w:p>
        </w:tc>
        <w:tc>
          <w:tcPr>
            <w:tcW w:type="dxa" w:w="218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.779</w:t>
            </w:r>
          </w:p>
        </w:tc>
      </w:tr>
      <w:tr>
        <w:tc>
          <w:tcPr>
            <w:tcW w:type="dxa" w:w="34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left"/>
            </w:pPr>
            <w:r>
              <w:rPr>
                <w:b w:val="false"/>
                <w:bCs w:val="false"/>
                <w:color w:val="000000"/>
                <w:sz w:val="16"/>
                <w:szCs w:val="16"/>
              </w:rPr>
              <w:t xml:space="preserve">UCLA (loneliness)</w:t>
            </w:r>
          </w:p>
        </w:tc>
        <w:tc>
          <w:tcPr>
            <w:tcW w:type="dxa" w:w="16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20</w:t>
            </w:r>
          </w:p>
        </w:tc>
        <w:tc>
          <w:tcPr>
            <w:tcW w:type="dxa" w:w="218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.723</w:t>
            </w:r>
          </w:p>
        </w:tc>
        <w:tc>
          <w:tcPr>
            <w:tcW w:type="dxa" w:w="218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.681</w:t>
            </w:r>
          </w:p>
        </w:tc>
      </w:tr>
    </w:tbl>
    <w:p>
      <w:pPr>
        <w:spacing w:after="80" w:line="248"/>
        <w:jc w:val="both"/>
      </w:pPr>
      <w:r>
        <w:rPr>
          <w:sz w:val="17"/>
          <w:szCs w:val="17"/>
        </w:rPr>
        <w:t xml:space="preserve">Disattenuated correlations (Spearman 1904): IAT–depression .53 → .62; IAT–loneliness .31 → .39. The observed associations understate the true ones because of measurement error in the scales.</w:t>
      </w:r>
    </w:p>
    <w:p>
      <w:pPr>
        <w:pStyle w:val="Heading2"/>
        <w:spacing w:after="60" w:before="130"/>
      </w:pPr>
      <w:r>
        <w:t xml:space="preserve">C. Full model tables and robustness</w:t>
      </w:r>
    </w:p>
    <w:p>
      <w:pPr>
        <w:spacing w:after="80" w:line="248"/>
        <w:jc w:val="both"/>
      </w:pPr>
      <w:r>
        <w:rPr>
          <w:sz w:val="17"/>
          <w:szCs w:val="17"/>
        </w:rPr>
        <w:t xml:space="preserve">C1. Linear models — standardized β [HC3 95% CI]; adjustment set {age, gender, bullied, exercise}.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3000"/>
        <w:gridCol w:w="1100"/>
        <w:gridCol w:w="900"/>
        <w:gridCol w:w="1160"/>
      </w:tblGrid>
      <w:tr>
        <w:tc>
          <w:tcPr>
            <w:tcW w:type="dxa" w:w="270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left"/>
            </w:pPr>
            <w:r>
              <w:rPr>
                <w:b/>
                <w:bCs/>
                <w:color w:val="FFFFFF"/>
                <w:sz w:val="16"/>
                <w:szCs w:val="16"/>
              </w:rPr>
              <w:t xml:space="preserve">Effect</w:t>
            </w:r>
          </w:p>
        </w:tc>
        <w:tc>
          <w:tcPr>
            <w:tcW w:type="dxa" w:w="150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center"/>
            </w:pPr>
            <w:r>
              <w:rPr>
                <w:b/>
                <w:bCs/>
                <w:color w:val="FFFFFF"/>
                <w:sz w:val="16"/>
                <w:szCs w:val="16"/>
              </w:rPr>
              <w:t xml:space="preserve">Unadj. β</w:t>
            </w:r>
          </w:p>
        </w:tc>
        <w:tc>
          <w:tcPr>
            <w:tcW w:type="dxa" w:w="300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center"/>
            </w:pPr>
            <w:r>
              <w:rPr>
                <w:b/>
                <w:bCs/>
                <w:color w:val="FFFFFF"/>
                <w:sz w:val="16"/>
                <w:szCs w:val="16"/>
              </w:rPr>
              <w:t xml:space="preserve">Adj. β [95% CI]</w:t>
            </w:r>
          </w:p>
        </w:tc>
        <w:tc>
          <w:tcPr>
            <w:tcW w:type="dxa" w:w="110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center"/>
            </w:pPr>
            <w:r>
              <w:rPr>
                <w:b/>
                <w:bCs/>
                <w:color w:val="FFFFFF"/>
                <w:sz w:val="16"/>
                <w:szCs w:val="16"/>
              </w:rPr>
              <w:t xml:space="preserve">ΔR²</w:t>
            </w:r>
          </w:p>
        </w:tc>
        <w:tc>
          <w:tcPr>
            <w:tcW w:type="dxa" w:w="90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center"/>
            </w:pPr>
            <w:r>
              <w:rPr>
                <w:b/>
                <w:bCs/>
                <w:color w:val="FFFFFF"/>
                <w:sz w:val="16"/>
                <w:szCs w:val="16"/>
              </w:rPr>
              <w:t xml:space="preserve">f²</w:t>
            </w:r>
          </w:p>
        </w:tc>
        <w:tc>
          <w:tcPr>
            <w:tcW w:type="dxa" w:w="1160"/>
            <w:tcBorders>
              <w:top w:val="single" w:color="BBBBBB" w:sz="1"/>
              <w:left w:val="single" w:color="BBBBBB" w:sz="1"/>
              <w:bottom w:val="single" w:color="BBBBBB" w:sz="1"/>
              <w:right w:val="single" w:color="BBBBBB" w:sz="1"/>
            </w:tcBorders>
            <w:shd w:fill="2E6FB7" w:val="clear"/>
            <w:tcMar>
              <w:top w:type="dxa" w:w="35"/>
              <w:left w:type="dxa" w:w="85"/>
              <w:bottom w:type="dxa" w:w="35"/>
              <w:right w:type="dxa" w:w="85"/>
            </w:tcMar>
          </w:tcPr>
          <w:p>
            <w:pPr>
              <w:jc w:val="center"/>
            </w:pPr>
            <w:r>
              <w:rPr>
                <w:b/>
                <w:bCs/>
                <w:color w:val="FFFFFF"/>
                <w:sz w:val="16"/>
                <w:szCs w:val="16"/>
              </w:rPr>
              <w:t xml:space="preserve">E-value</w:t>
            </w:r>
          </w:p>
        </w:tc>
      </w:tr>
      <w:tr>
        <w:tc>
          <w:tcPr>
            <w:tcW w:type="dxa" w:w="27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left"/>
            </w:pPr>
            <w:r>
              <w:rPr>
                <w:b w:val="false"/>
                <w:bCs w:val="false"/>
                <w:color w:val="000000"/>
                <w:sz w:val="16"/>
                <w:szCs w:val="16"/>
              </w:rPr>
              <w:t xml:space="preserve">IAT → Depression</w:t>
            </w:r>
          </w:p>
        </w:tc>
        <w:tc>
          <w:tcPr>
            <w:tcW w:type="dxa" w:w="15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0.529</w:t>
            </w:r>
          </w:p>
        </w:tc>
        <w:tc>
          <w:tcPr>
            <w:tcW w:type="dxa" w:w="30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0.505 [0.44, 0.57]</w:t>
            </w:r>
          </w:p>
        </w:tc>
        <w:tc>
          <w:tcPr>
            <w:tcW w:type="dxa" w:w="11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0.222</w:t>
            </w:r>
          </w:p>
        </w:tc>
        <w:tc>
          <w:tcPr>
            <w:tcW w:type="dxa" w:w="9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0.31</w:t>
            </w:r>
          </w:p>
        </w:tc>
        <w:tc>
          <w:tcPr>
            <w:tcW w:type="dxa" w:w="116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2.55</w:t>
            </w:r>
          </w:p>
        </w:tc>
      </w:tr>
      <w:tr>
        <w:tc>
          <w:tcPr>
            <w:tcW w:type="dxa" w:w="27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left"/>
            </w:pPr>
            <w:r>
              <w:rPr>
                <w:b w:val="false"/>
                <w:bCs w:val="false"/>
                <w:color w:val="000000"/>
                <w:sz w:val="16"/>
                <w:szCs w:val="16"/>
              </w:rPr>
              <w:t xml:space="preserve">IAT → Loneliness</w:t>
            </w:r>
          </w:p>
        </w:tc>
        <w:tc>
          <w:tcPr>
            <w:tcW w:type="dxa" w:w="15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0.308</w:t>
            </w:r>
          </w:p>
        </w:tc>
        <w:tc>
          <w:tcPr>
            <w:tcW w:type="dxa" w:w="30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0.288 [0.22, 0.36]</w:t>
            </w:r>
          </w:p>
        </w:tc>
        <w:tc>
          <w:tcPr>
            <w:tcW w:type="dxa" w:w="11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0.072</w:t>
            </w:r>
          </w:p>
        </w:tc>
        <w:tc>
          <w:tcPr>
            <w:tcW w:type="dxa" w:w="90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0.08</w:t>
            </w:r>
          </w:p>
        </w:tc>
        <w:tc>
          <w:tcPr>
            <w:tcW w:type="dxa" w:w="1160"/>
            <w:tcBorders>
              <w:top w:val="single" w:color="BBBBBB" w:sz="1"/>
              <w:left w:val="single" w:color="BBBBBB" w:sz="1"/>
              <w:bottom w:val="single" w:color="BBBBBB" w:sz="1"/>
              <w:right w:val="single" w:color="BBBBBB" w:sz="1"/>
            </w:tcBorders>
            <w:shd w:fill="FFFFFF" w:val="clear"/>
            <w:tcMar>
              <w:top w:type="dxa" w:w="35"/>
              <w:left w:type="dxa" w:w="85"/>
              <w:bottom w:type="dxa" w:w="35"/>
              <w:right w:type="dxa" w:w="85"/>
            </w:tcMar>
          </w:tcPr>
          <w:p>
            <w:pPr>
              <w:jc w:val="center"/>
            </w:pPr>
            <w:r>
              <w:rPr>
                <w:b w:val="false"/>
                <w:bCs w:val="false"/>
                <w:color w:val="000000"/>
                <w:sz w:val="16"/>
                <w:szCs w:val="16"/>
              </w:rPr>
              <w:t xml:space="preserve">1.92</w:t>
            </w:r>
          </w:p>
        </w:tc>
      </w:tr>
    </w:tbl>
    <w:p>
      <w:pPr>
        <w:spacing w:after="60"/>
      </w:pPr>
      <w:r>
        <w:rPr>
          <w:sz w:val="6"/>
          <w:szCs w:val="6"/>
        </w:rPr>
        <w:t xml:space="preserve"> </w:t>
      </w:r>
    </w:p>
    <w:p>
      <w:pPr>
        <w:spacing w:after="80" w:line="248"/>
        <w:jc w:val="both"/>
      </w:pPr>
      <w:r>
        <w:rPr>
          <w:sz w:val="17"/>
          <w:szCs w:val="17"/>
        </w:rPr>
        <w:t xml:space="preserve">C2. Logistic regression — clinically-significant depression (PHQ-9 ≥ 10). Odds ratios [95% CI]: IAT 2.89 [2.34, 3.57]***; hours 0.90 [0.74, 1.08]; age 1.39 [1.16, 1.66]***; male 0.93; bullied 1.36; exercise 0.72. AUC = 0.775 (DeLong CI 0.742–0.809); repeated 10×10 CV AUC = 0.768 [0.64, 0.88]; Hosmer-Lemeshow χ² = 15.5, p = .05; no separation (MLE finite, Firth not required). Ordinal proportional-odds model: IAT OR = 2.85, p &lt; 10⁻³⁵; hours OR = 0.96, p = .58.</w:t>
      </w:r>
    </w:p>
    <w:p>
      <w:pPr>
        <w:spacing w:after="60"/>
      </w:pPr>
      <w:r>
        <w:rPr>
          <w:sz w:val="6"/>
          <w:szCs w:val="6"/>
        </w:rPr>
        <w:t xml:space="preserve"> </w:t>
      </w:r>
    </w:p>
    <w:p>
      <w:pPr>
        <w:spacing w:after="80" w:line="248"/>
        <w:jc w:val="both"/>
      </w:pPr>
      <w:r>
        <w:rPr>
          <w:sz w:val="17"/>
          <w:szCs w:val="17"/>
        </w:rPr>
        <w:t xml:space="preserve">C3. Equivalence and coding sensitivity for hours (depression model). Linear social-media hours: β = −0.03, TOST 90% CI [−0.09, 0.04] — equivalent to zero within ±0.1. Internet-hours coding: β = −0.01, p = .74. Ordinal-factor coding: joint F(4,809) = 5.69, p &lt; .001 (weak non-linear signal). IAT β stays ≈ 0.51 throughout. Multiplicity: BH-adjusted p for the three primary effects all &lt; 10⁻¹⁴. Influence: max Cook’s D = 0.034 (no influential points); Breusch-Pagan p = .07.</w:t>
      </w:r>
    </w:p>
    <w:p>
      <w:pPr>
        <w:spacing w:after="25" w:before="50"/>
        <w:jc w:val="center"/>
      </w:pPr>
      <w:r>
        <w:drawing>
          <wp:inline distT="0" distB="0" distL="0" distR="0">
            <wp:extent cx="2286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2190750"/>
                    </a:xfrm>
                    <a:prstGeom prst="rect">
                      <a:avLst/>
                    </a:prstGeom>
                  </pic:spPr>
                </pic:pic>
              </a:graphicData>
            </a:graphic>
          </wp:inline>
        </w:drawing>
      </w:r>
    </w:p>
    <w:p>
      <w:pPr>
        <w:spacing w:after="110"/>
        <w:jc w:val="center"/>
      </w:pPr>
      <w:r>
        <w:rPr>
          <w:b/>
          <w:bCs/>
          <w:sz w:val="15"/>
          <w:szCs w:val="15"/>
        </w:rPr>
        <w:t xml:space="preserve">Figure 2. </w:t>
      </w:r>
      <w:r>
        <w:rPr>
          <w:i/>
          <w:iCs/>
          <w:sz w:val="15"/>
          <w:szCs w:val="15"/>
        </w:rPr>
        <w:t xml:space="preserve">Figure C1. Calibration of the logistic model (decile bins vs. perfect-calibration line).</w:t>
      </w:r>
    </w:p>
    <w:p>
      <w:pPr>
        <w:spacing w:after="25" w:before="50"/>
        <w:jc w:val="center"/>
      </w:pPr>
      <w:r>
        <w:drawing>
          <wp:inline distT="0" distB="0" distL="0" distR="0">
            <wp:extent cx="2286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2105025"/>
                    </a:xfrm>
                    <a:prstGeom prst="rect">
                      <a:avLst/>
                    </a:prstGeom>
                  </pic:spPr>
                </pic:pic>
              </a:graphicData>
            </a:graphic>
          </wp:inline>
        </w:drawing>
      </w:r>
    </w:p>
    <w:p>
      <w:pPr>
        <w:spacing w:after="110"/>
        <w:jc w:val="center"/>
      </w:pPr>
      <w:r>
        <w:rPr>
          <w:b/>
          <w:bCs/>
          <w:sz w:val="15"/>
          <w:szCs w:val="15"/>
        </w:rPr>
        <w:t xml:space="preserve">Figure 2. </w:t>
      </w:r>
      <w:r>
        <w:rPr>
          <w:i/>
          <w:iCs/>
          <w:sz w:val="15"/>
          <w:szCs w:val="15"/>
        </w:rPr>
        <w:t xml:space="preserve">Figure C2. ROC curve (AUC = 0.78).</w:t>
      </w:r>
    </w:p>
    <w:p>
      <w:pPr>
        <w:spacing w:after="25" w:before="50"/>
        <w:jc w:val="center"/>
      </w:pPr>
      <w:r>
        <w:drawing>
          <wp:inline distT="0" distB="0" distL="0" distR="0">
            <wp:extent cx="4095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819275"/>
                    </a:xfrm>
                    <a:prstGeom prst="rect">
                      <a:avLst/>
                    </a:prstGeom>
                  </pic:spPr>
                </pic:pic>
              </a:graphicData>
            </a:graphic>
          </wp:inline>
        </w:drawing>
      </w:r>
    </w:p>
    <w:p>
      <w:pPr>
        <w:spacing w:after="110"/>
        <w:jc w:val="center"/>
      </w:pPr>
      <w:r>
        <w:rPr>
          <w:b/>
          <w:bCs/>
          <w:sz w:val="15"/>
          <w:szCs w:val="15"/>
        </w:rPr>
        <w:t xml:space="preserve">Figure 2. </w:t>
      </w:r>
      <w:r>
        <w:rPr>
          <w:i/>
          <w:iCs/>
          <w:sz w:val="15"/>
          <w:szCs w:val="15"/>
        </w:rPr>
        <w:t xml:space="preserve">Figure C3. Residuals vs. fitted and Normal Q-Q for the depression model.</w:t>
      </w:r>
    </w:p>
    <w:p>
      <w:pPr>
        <w:pStyle w:val="Heading2"/>
        <w:spacing w:after="60" w:before="130"/>
      </w:pPr>
      <w:r>
        <w:t xml:space="preserve">D. Exploratory data analysis</w:t>
      </w:r>
    </w:p>
    <w:p>
      <w:pPr>
        <w:spacing w:after="25" w:before="50"/>
        <w:jc w:val="center"/>
      </w:pPr>
      <w:r>
        <w:drawing>
          <wp:inline distT="0" distB="0" distL="0" distR="0">
            <wp:extent cx="2667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257425"/>
                    </a:xfrm>
                    <a:prstGeom prst="rect">
                      <a:avLst/>
                    </a:prstGeom>
                  </pic:spPr>
                </pic:pic>
              </a:graphicData>
            </a:graphic>
          </wp:inline>
        </w:drawing>
      </w:r>
    </w:p>
    <w:p>
      <w:pPr>
        <w:spacing w:after="110"/>
        <w:jc w:val="center"/>
      </w:pPr>
      <w:r>
        <w:rPr>
          <w:b/>
          <w:bCs/>
          <w:sz w:val="15"/>
          <w:szCs w:val="15"/>
        </w:rPr>
        <w:t xml:space="preserve">Figure 2. </w:t>
      </w:r>
      <w:r>
        <w:rPr>
          <w:i/>
          <w:iCs/>
          <w:sz w:val="15"/>
          <w:szCs w:val="15"/>
        </w:rPr>
        <w:t xml:space="preserve">Figure D1. Correlation matrix.</w:t>
      </w:r>
    </w:p>
    <w:p>
      <w:pPr>
        <w:spacing w:after="25" w:before="50"/>
        <w:jc w:val="center"/>
      </w:pPr>
      <w:r>
        <w:drawing>
          <wp:inline distT="0" distB="0" distL="0" distR="0">
            <wp:extent cx="3810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19375"/>
                    </a:xfrm>
                    <a:prstGeom prst="rect">
                      <a:avLst/>
                    </a:prstGeom>
                  </pic:spPr>
                </pic:pic>
              </a:graphicData>
            </a:graphic>
          </wp:inline>
        </w:drawing>
      </w:r>
    </w:p>
    <w:p>
      <w:pPr>
        <w:spacing w:after="110"/>
        <w:jc w:val="center"/>
      </w:pPr>
      <w:r>
        <w:rPr>
          <w:b/>
          <w:bCs/>
          <w:sz w:val="15"/>
          <w:szCs w:val="15"/>
        </w:rPr>
        <w:t xml:space="preserve">Figure 2. </w:t>
      </w:r>
      <w:r>
        <w:rPr>
          <w:i/>
          <w:iCs/>
          <w:sz w:val="15"/>
          <w:szCs w:val="15"/>
        </w:rPr>
        <w:t xml:space="preserve">Figure D2. Variable distributions (note the floor in the hours measure).</w:t>
      </w:r>
    </w:p>
    <w:p>
      <w:pPr>
        <w:spacing w:after="25" w:before="50"/>
        <w:jc w:val="center"/>
      </w:pPr>
      <w:r>
        <w:drawing>
          <wp:inline distT="0" distB="0" distL="0" distR="0">
            <wp:extent cx="3238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124075"/>
                    </a:xfrm>
                    <a:prstGeom prst="rect">
                      <a:avLst/>
                    </a:prstGeom>
                  </pic:spPr>
                </pic:pic>
              </a:graphicData>
            </a:graphic>
          </wp:inline>
        </w:drawing>
      </w:r>
    </w:p>
    <w:p>
      <w:pPr>
        <w:spacing w:after="110"/>
        <w:jc w:val="center"/>
      </w:pPr>
      <w:r>
        <w:rPr>
          <w:b/>
          <w:bCs/>
          <w:sz w:val="15"/>
          <w:szCs w:val="15"/>
        </w:rPr>
        <w:t xml:space="preserve">Figure 2. </w:t>
      </w:r>
      <w:r>
        <w:rPr>
          <w:i/>
          <w:iCs/>
          <w:sz w:val="15"/>
          <w:szCs w:val="15"/>
        </w:rPr>
        <w:t xml:space="preserve">Figure D3. IAT across ordered PHQ-9 severity (boxplot + jitter).</w:t>
      </w:r>
    </w:p>
    <w:p>
      <w:pPr>
        <w:spacing w:after="25" w:before="50"/>
        <w:jc w:val="center"/>
      </w:pPr>
      <w:r>
        <w:drawing>
          <wp:inline distT="0" distB="0" distL="0" distR="0">
            <wp:extent cx="3238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038350"/>
                    </a:xfrm>
                    <a:prstGeom prst="rect">
                      <a:avLst/>
                    </a:prstGeom>
                  </pic:spPr>
                </pic:pic>
              </a:graphicData>
            </a:graphic>
          </wp:inline>
        </w:drawing>
      </w:r>
    </w:p>
    <w:p>
      <w:pPr>
        <w:spacing w:after="110"/>
        <w:jc w:val="center"/>
      </w:pPr>
      <w:r>
        <w:rPr>
          <w:b/>
          <w:bCs/>
          <w:sz w:val="15"/>
          <w:szCs w:val="15"/>
        </w:rPr>
        <w:t xml:space="preserve">Figure 2. </w:t>
      </w:r>
      <w:r>
        <w:rPr>
          <w:i/>
          <w:iCs/>
          <w:sz w:val="15"/>
          <w:szCs w:val="15"/>
        </w:rPr>
        <w:t xml:space="preserve">Figure D4. Depression and loneliness escalate across addiction bands.</w:t>
      </w:r>
    </w:p>
    <w:p>
      <w:pPr>
        <w:pStyle w:val="Heading2"/>
        <w:spacing w:after="60" w:before="130"/>
      </w:pPr>
      <w:r>
        <w:t xml:space="preserve">E. Reproducibility</w:t>
      </w:r>
    </w:p>
    <w:p>
      <w:pPr>
        <w:spacing w:after="80" w:line="248"/>
        <w:jc w:val="both"/>
      </w:pPr>
      <w:r>
        <w:rPr>
          <w:sz w:val="17"/>
          <w:szCs w:val="17"/>
        </w:rPr>
        <w:t xml:space="preserve">All analysis is in analysis.R (R; tidyverse, readxl, psych, dagitty, sandwich, lmtest, effectsize, parameters, performance, pROC, EValue, boot, MASS, ordinal, ResourceSelection). Inferential estimates use the full sample; AUC uses repeated cross-validation; all randomness is seeded (set.seed(42)). Place new_data.xlsx in data/ (see data/README.md) and run Rscript analysis.R to reproduce every number and figure. Data is not committed to the repository, per course requirements.</w:t>
      </w:r>
    </w:p>
    <w:p>
      <w:pPr>
        <w:pStyle w:val="Heading2"/>
        <w:spacing w:after="60" w:before="130"/>
      </w:pPr>
      <w:r>
        <w:t xml:space="preserve">F. Bibliography</w:t>
      </w:r>
    </w:p>
    <w:p>
      <w:pPr>
        <w:spacing w:after="50"/>
        <w:ind w:left="300" w:hanging="300"/>
      </w:pPr>
      <w:r>
        <w:rPr>
          <w:sz w:val="15"/>
          <w:szCs w:val="15"/>
        </w:rPr>
        <w:t xml:space="preserve">Gupta, A., et al. (2018). Internet addiction and its association with psychological factors. [Details to be verified by the authors.]</w:t>
      </w:r>
    </w:p>
    <w:p>
      <w:pPr>
        <w:spacing w:after="50"/>
        <w:ind w:left="300" w:hanging="300"/>
      </w:pPr>
      <w:r>
        <w:rPr>
          <w:sz w:val="15"/>
          <w:szCs w:val="15"/>
        </w:rPr>
        <w:t xml:space="preserve">Khalaf, A. M., et al. (2023). The impact of social media on the mental health of adolescents and young adults: A systematic review. Cureus, 15(8), e42990.</w:t>
      </w:r>
    </w:p>
    <w:p>
      <w:pPr>
        <w:spacing w:after="50"/>
        <w:ind w:left="300" w:hanging="300"/>
      </w:pPr>
      <w:r>
        <w:rPr>
          <w:sz w:val="15"/>
          <w:szCs w:val="15"/>
        </w:rPr>
        <w:t xml:space="preserve">Kroenke, K., Spitzer, R. L., &amp; Williams, J. B. W. (2001). The PHQ-9. JGIM, 16(9), 606–613.</w:t>
      </w:r>
    </w:p>
    <w:p>
      <w:pPr>
        <w:spacing w:after="50"/>
        <w:ind w:left="300" w:hanging="300"/>
      </w:pPr>
      <w:r>
        <w:rPr>
          <w:sz w:val="15"/>
          <w:szCs w:val="15"/>
        </w:rPr>
        <w:t xml:space="preserve">Kuss, D. J., &amp; Griffiths, M. D. (2017). Online social networking and addiction: A review. IJERPH, 14(3), 311.</w:t>
      </w:r>
    </w:p>
    <w:p>
      <w:pPr>
        <w:spacing w:after="50"/>
        <w:ind w:left="300" w:hanging="300"/>
      </w:pPr>
      <w:r>
        <w:rPr>
          <w:sz w:val="15"/>
          <w:szCs w:val="15"/>
        </w:rPr>
        <w:t xml:space="preserve">Long, J. S., &amp; Ervin, L. H. (2000). Using heteroscedasticity-consistent standard errors. The American Statistician, 54(3), 217–224.</w:t>
      </w:r>
    </w:p>
    <w:p>
      <w:pPr>
        <w:spacing w:after="50"/>
        <w:ind w:left="300" w:hanging="300"/>
      </w:pPr>
      <w:r>
        <w:rPr>
          <w:sz w:val="15"/>
          <w:szCs w:val="15"/>
        </w:rPr>
        <w:t xml:space="preserve">Riehm, K. E., et al. (2019). Time using social media and internalizing/externalizing problems among US youth. JAMA Psychiatry, 76(12), 1266–1273.</w:t>
      </w:r>
    </w:p>
    <w:p>
      <w:pPr>
        <w:spacing w:after="50"/>
        <w:ind w:left="300" w:hanging="300"/>
      </w:pPr>
      <w:r>
        <w:rPr>
          <w:sz w:val="15"/>
          <w:szCs w:val="15"/>
        </w:rPr>
        <w:t xml:space="preserve">Russell, D. W. (1996). UCLA Loneliness Scale (Version 3). J. Personality Assessment, 66(1), 20–40.</w:t>
      </w:r>
    </w:p>
    <w:p>
      <w:pPr>
        <w:spacing w:after="50"/>
        <w:ind w:left="300" w:hanging="300"/>
      </w:pPr>
      <w:r>
        <w:rPr>
          <w:sz w:val="15"/>
          <w:szCs w:val="15"/>
        </w:rPr>
        <w:t xml:space="preserve">Terwee, C. B., et al. (2007). Quality criteria for measurement properties of questionnaires. J. Clinical Epidemiology, 60(1), 34–42.</w:t>
      </w:r>
    </w:p>
    <w:p>
      <w:pPr>
        <w:spacing w:after="50"/>
        <w:ind w:left="300" w:hanging="300"/>
      </w:pPr>
      <w:r>
        <w:rPr>
          <w:sz w:val="15"/>
          <w:szCs w:val="15"/>
        </w:rPr>
        <w:t xml:space="preserve">VanderWeele, T. J., &amp; Ding, P. (2017). Sensitivity analysis: the E-value. Annals of Internal Medicine, 167(4), 268–274.</w:t>
      </w:r>
    </w:p>
    <w:p>
      <w:pPr>
        <w:spacing w:after="50"/>
        <w:ind w:left="300" w:hanging="300"/>
      </w:pPr>
      <w:r>
        <w:rPr>
          <w:sz w:val="15"/>
          <w:szCs w:val="15"/>
        </w:rPr>
        <w:t xml:space="preserve">Westreich, D., &amp; Greenland, S. (2013). The Table 2 fallacy. American Journal of Epidemiology, 177(4), 292–298.</w:t>
      </w:r>
    </w:p>
    <w:p>
      <w:pPr>
        <w:spacing w:after="50"/>
        <w:ind w:left="300" w:hanging="300"/>
      </w:pPr>
      <w:r>
        <w:rPr>
          <w:sz w:val="15"/>
          <w:szCs w:val="15"/>
        </w:rPr>
        <w:t xml:space="preserve">Young, K. S. (1998). Internet addiction. CyberPsychology &amp; Behavior, 1(3), 237–244.</w:t>
      </w:r>
    </w:p>
    <w:sectPr>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30"/>
      <w:outlineLvl w:val="0"/>
    </w:pPr>
    <w:rPr>
      <w:rFonts w:ascii="Calibri" w:cs="Calibri" w:eastAsia="Calibri" w:hAnsi="Calibri"/>
      <w:b/>
      <w:bCs/>
      <w:color w:val="1F3864"/>
      <w:sz w:val="22"/>
      <w:szCs w:val="22"/>
    </w:rPr>
  </w:style>
  <w:style w:type="paragraph" w:styleId="Heading2">
    <w:name w:val="Heading 2"/>
    <w:basedOn w:val="Normal"/>
    <w:next w:val="Normal"/>
    <w:qFormat/>
    <w:pPr>
      <w:spacing w:after="45" w:before="90"/>
      <w:outlineLvl w:val="1"/>
    </w:pPr>
    <w:rPr>
      <w:rFonts w:ascii="Calibri" w:cs="Calibri" w:eastAsia="Calibri" w:hAnsi="Calibri"/>
      <w:b/>
      <w:bCs/>
      <w:color w:val="2E6FB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aa31234f5f55b9c4d9bad521d1aabbb4f21d61.png"/><Relationship Id="rId9" Type="http://schemas.openxmlformats.org/officeDocument/2006/relationships/image" Target="media/340c0fe1079caac789eedaee0bb29534adc0ad4a.png"/><Relationship Id="rId10" Type="http://schemas.openxmlformats.org/officeDocument/2006/relationships/image" Target="media/3a7b191506eb401750b0ce73a4e57f58635a145c.png"/><Relationship Id="rId11" Type="http://schemas.openxmlformats.org/officeDocument/2006/relationships/image" Target="media/b9ef7e47689dd6a2e3360d53202043ca08944e40.png"/><Relationship Id="rId12" Type="http://schemas.openxmlformats.org/officeDocument/2006/relationships/image" Target="media/b4f9ada7e3c5bc73553190e14971862672521ab5.png"/><Relationship Id="rId13" Type="http://schemas.openxmlformats.org/officeDocument/2006/relationships/image" Target="media/897a33fa99fe0d39e1a53781a0870110a59aa577.png"/><Relationship Id="rId14" Type="http://schemas.openxmlformats.org/officeDocument/2006/relationships/image" Target="media/ce70a76833fe0373e5262ec05deb508ffb1f5ee5.png"/><Relationship Id="rId15" Type="http://schemas.openxmlformats.org/officeDocument/2006/relationships/image" Target="media/8848c271fa8155f324eca98f7eac73d434e14c0c.png"/><Relationship Id="rId16" Type="http://schemas.openxmlformats.org/officeDocument/2006/relationships/image" Target="media/7eaad41418e23f55dff1994a24c8f988c19a04a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2026-06-17T18:44:35.737Z</dcterms:created>
  <dcterms:modified xsi:type="dcterms:W3CDTF">2026-06-17T18:44:35.746Z</dcterms:modified>
</cp:coreProperties>
</file>

<file path=docProps/custom.xml><?xml version="1.0" encoding="utf-8"?>
<Properties xmlns="http://schemas.openxmlformats.org/officeDocument/2006/custom-properties" xmlns:vt="http://schemas.openxmlformats.org/officeDocument/2006/docPropsVTypes"/>
</file>