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color w:val="696969"/>
          <w:sz w:val="30"/>
        </w:rPr>
      </w:pPr>
      <w:r>
        <w:rPr>
          <w:b w:val="1"/>
          <w:color w:val="696969"/>
          <w:sz w:val="30"/>
        </w:rPr>
        <w:t xml:space="preserve">Оценка эффективности бизнеса компании </w:t>
      </w:r>
      <w:r>
        <w:rPr>
          <w:b w:val="1"/>
          <w:i w:val="1"/>
          <w:color w:val="313131"/>
          <w:sz w:val="28"/>
          <w:highlight w:val="white"/>
        </w:rPr>
        <w:t>Pens and Pencils</w:t>
      </w:r>
    </w:p>
    <w:p w14:paraId="02000000">
      <w:pPr>
        <w:rPr>
          <w:b w:val="1"/>
          <w:color w:val="696969"/>
          <w:sz w:val="26"/>
        </w:rPr>
      </w:pPr>
    </w:p>
    <w:p w14:paraId="03000000">
      <w:pPr>
        <w:rPr>
          <w:b w:val="1"/>
          <w:color w:val="696969"/>
          <w:sz w:val="26"/>
        </w:rPr>
      </w:pPr>
    </w:p>
    <w:p>
      <w:pPr>
        <w:pStyle w:val="Style_1"/>
        <w:tabs>
          <w:tab w:leader="none" w:pos="0" w:val="right"/>
        </w:tabs>
      </w:pPr>
      <w:r>
        <w:fldChar w:fldCharType="begin"/>
      </w:r>
      <w:r>
        <w:instrText xml:space="preserve">TOC \h \z \u \o "1-6" \n "1-6"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ЗАДАЧА</w:t>
      </w:r>
      <w:r>
        <w:fldChar w:fldCharType="end"/>
      </w:r>
    </w:p>
    <w:p w14:paraId="05000000">
      <w:pPr>
        <w:pStyle w:val="Style_1"/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Динамика продаж и распределение выручки по товарам.</w:t>
      </w:r>
      <w:r>
        <w:fldChar w:fldCharType="end"/>
      </w:r>
    </w:p>
    <w:p w14:paraId="06000000">
      <w:pPr>
        <w:pStyle w:val="Style_2"/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Динамика продаж по месяцам</w:t>
      </w:r>
      <w:r>
        <w:fldChar w:fldCharType="end"/>
      </w:r>
    </w:p>
    <w:p w14:paraId="07000000">
      <w:pPr>
        <w:pStyle w:val="Style_2"/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Категории и подкатегории товаров, приносящих наибольший доход</w:t>
      </w:r>
      <w:r>
        <w:fldChar w:fldCharType="end"/>
      </w:r>
    </w:p>
    <w:p w14:paraId="08000000">
      <w:pPr>
        <w:pStyle w:val="Style_2"/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Топ-25 товаров по выручке</w:t>
      </w:r>
      <w:r>
        <w:fldChar w:fldCharType="end"/>
      </w:r>
    </w:p>
    <w:p w14:paraId="09000000">
      <w:pPr>
        <w:pStyle w:val="Style_1"/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 Портрет клиента</w:t>
      </w:r>
      <w:r>
        <w:fldChar w:fldCharType="end"/>
      </w:r>
    </w:p>
    <w:p w14:paraId="0A000000">
      <w:pPr>
        <w:pStyle w:val="Style_2"/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Соотношение B2B и B2C клиентов</w:t>
      </w:r>
      <w:r>
        <w:fldChar w:fldCharType="end"/>
      </w:r>
    </w:p>
    <w:p w14:paraId="0B000000">
      <w:pPr>
        <w:pStyle w:val="Style_2"/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Динамика новых корпоративных клиентов</w:t>
      </w:r>
      <w:r>
        <w:fldChar w:fldCharType="end"/>
      </w:r>
    </w:p>
    <w:p w14:paraId="0C000000">
      <w:pPr>
        <w:pStyle w:val="Style_2"/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Сколько в среднем различных товаров в заказах у корпоративных клиентов?</w:t>
      </w:r>
      <w:r>
        <w:fldChar w:fldCharType="end"/>
      </w:r>
    </w:p>
    <w:p w14:paraId="0D000000">
      <w:pPr>
        <w:pStyle w:val="Style_2"/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Какая в среднем сумма заказов у корпоративных клиентов?</w:t>
      </w:r>
      <w:r>
        <w:fldChar w:fldCharType="end"/>
      </w:r>
    </w:p>
    <w:p w14:paraId="0E000000">
      <w:pPr>
        <w:pStyle w:val="Style_1"/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3. Логистика компании</w:t>
      </w:r>
      <w:r>
        <w:fldChar w:fldCharType="end"/>
      </w:r>
    </w:p>
    <w:p w14:paraId="0F000000">
      <w:pPr>
        <w:pStyle w:val="Style_2"/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Эффективность доставок</w:t>
      </w:r>
      <w:r>
        <w:fldChar w:fldCharType="end"/>
      </w:r>
    </w:p>
    <w:p w14:paraId="10000000">
      <w:pPr>
        <w:pStyle w:val="Style_2"/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Количество доставок в зависимости от штата</w:t>
      </w:r>
      <w:r>
        <w:fldChar w:fldCharType="end"/>
      </w:r>
    </w:p>
    <w:p w14:paraId="11000000">
      <w:pPr>
        <w:pStyle w:val="Style_1"/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4. Общие выводы</w:t>
      </w:r>
      <w:r>
        <w:fldChar w:fldCharType="end"/>
      </w:r>
    </w:p>
    <w:p>
      <w:r>
        <w:fldChar w:fldCharType="end"/>
      </w:r>
    </w:p>
    <w:p w14:paraId="13000000">
      <w:pPr>
        <w:rPr>
          <w:b w:val="1"/>
          <w:color w:val="696969"/>
          <w:sz w:val="26"/>
        </w:rPr>
      </w:pPr>
    </w:p>
    <w:p w14:paraId="14000000">
      <w:pPr>
        <w:rPr>
          <w:b w:val="1"/>
          <w:color w:val="696969"/>
          <w:sz w:val="26"/>
        </w:rPr>
      </w:pPr>
    </w:p>
    <w:p w14:paraId="15000000">
      <w:bookmarkStart w:id="1" w:name="__RefHeading___1"/>
      <w:bookmarkEnd w:id="1"/>
      <w:pPr>
        <w:pStyle w:val="Style_3"/>
        <w:spacing w:after="340" w:before="440" w:line="336" w:lineRule="auto"/>
        <w:ind w:firstLine="720" w:left="0"/>
      </w:pPr>
      <w:bookmarkStart w:id="2" w:name="_nfx4hif6016i"/>
      <w:bookmarkEnd w:id="2"/>
      <w:r>
        <w:t>ЗАДАЧА</w:t>
      </w:r>
    </w:p>
    <w:p w14:paraId="16000000">
      <w:pPr>
        <w:spacing w:after="340" w:line="336" w:lineRule="auto"/>
        <w:ind/>
        <w:rPr>
          <w:color w:val="313131"/>
          <w:sz w:val="24"/>
        </w:rPr>
      </w:pPr>
      <w:r>
        <w:rPr>
          <w:color w:val="313131"/>
          <w:sz w:val="24"/>
        </w:rPr>
        <w:t>Проанализировать работу компании с точки зрения её эффективности и дать рекомендации по масштабированию бизнеса, а именно в каком штате лучше открыть офлайн-магазин.</w:t>
      </w:r>
    </w:p>
    <w:p w14:paraId="17000000">
      <w:pPr>
        <w:pStyle w:val="Style_4"/>
        <w:spacing w:after="340" w:before="440" w:line="336" w:lineRule="auto"/>
        <w:ind w:firstLine="720" w:left="0"/>
      </w:pPr>
      <w:bookmarkStart w:id="3" w:name="_hfpqwvc80yy4"/>
      <w:bookmarkEnd w:id="3"/>
      <w:r>
        <w:t xml:space="preserve">КОНКРЕТНЫЕ ШАГИ </w:t>
      </w:r>
    </w:p>
    <w:p w14:paraId="18000000">
      <w:pPr>
        <w:numPr>
          <w:ilvl w:val="0"/>
          <w:numId w:val="1"/>
        </w:numPr>
        <w:spacing w:after="0" w:before="460" w:line="336" w:lineRule="auto"/>
        <w:ind w:hanging="360" w:left="720"/>
      </w:pPr>
      <w:r>
        <w:rPr>
          <w:color w:val="313131"/>
          <w:sz w:val="24"/>
        </w:rPr>
        <w:t>Оценить динамику продаж и распределение выручки по товарам.</w:t>
      </w:r>
    </w:p>
    <w:p w14:paraId="19000000">
      <w:pPr>
        <w:numPr>
          <w:ilvl w:val="0"/>
          <w:numId w:val="1"/>
        </w:numPr>
        <w:spacing w:after="0" w:before="0" w:line="336" w:lineRule="auto"/>
        <w:ind w:hanging="360" w:left="720"/>
      </w:pPr>
      <w:r>
        <w:rPr>
          <w:color w:val="313131"/>
          <w:sz w:val="24"/>
        </w:rPr>
        <w:t>Составить портрет клиента, выяснить, какие клиенты приносят больше всего выручки.</w:t>
      </w:r>
    </w:p>
    <w:p w14:paraId="1A000000">
      <w:pPr>
        <w:numPr>
          <w:ilvl w:val="0"/>
          <w:numId w:val="1"/>
        </w:numPr>
        <w:spacing w:after="620" w:before="0" w:line="336" w:lineRule="auto"/>
        <w:ind w:hanging="360" w:left="720"/>
      </w:pPr>
      <w:r>
        <w:rPr>
          <w:color w:val="313131"/>
          <w:sz w:val="24"/>
        </w:rPr>
        <w:t>Проконтролировать логистику компании (определить, все ли заказы доставляются в срок и в каком штате лучше открыть офлайн-магазин)</w:t>
      </w:r>
      <w:bookmarkStart w:id="4" w:name="_d01cfx6v1cm"/>
      <w:bookmarkEnd w:id="4"/>
      <w:r>
        <w:br w:type="page"/>
      </w:r>
    </w:p>
    <w:p w14:paraId="1B000000">
      <w:pPr>
        <w:sectPr>
          <w:pgSz w:h="16834" w:orient="portrait" w:w="11909"/>
          <w:pgMar w:bottom="1440" w:footer="720" w:header="720" w:left="1440" w:right="1440" w:top="1440"/>
          <w:pgNumType w:start="1"/>
        </w:sectPr>
      </w:pPr>
    </w:p>
    <w:p w14:paraId="1C000000">
      <w:bookmarkStart w:id="5" w:name="__RefHeading___2"/>
      <w:bookmarkEnd w:id="5"/>
      <w:pPr>
        <w:pStyle w:val="Style_3"/>
      </w:pPr>
      <w:bookmarkStart w:id="6" w:name="_dqqg5osf8twz"/>
      <w:bookmarkEnd w:id="6"/>
      <w:r>
        <w:t>1. Динамика продаж и распределение выручки по товарам.</w:t>
      </w:r>
    </w:p>
    <w:p w14:paraId="1D000000">
      <w:pPr>
        <w:numPr>
          <w:ilvl w:val="0"/>
          <w:numId w:val="2"/>
        </w:numPr>
        <w:spacing w:after="0" w:before="460" w:line="336" w:lineRule="auto"/>
        <w:ind w:hanging="360" w:left="1180"/>
      </w:pPr>
      <w:r>
        <w:rPr>
          <w:color w:val="313131"/>
          <w:sz w:val="24"/>
        </w:rPr>
        <w:t xml:space="preserve">Какова </w:t>
      </w:r>
      <w:r>
        <w:rPr>
          <w:b w:val="1"/>
          <w:color w:val="313131"/>
          <w:sz w:val="24"/>
        </w:rPr>
        <w:t>динамика продаж</w:t>
      </w:r>
      <w:r>
        <w:rPr>
          <w:color w:val="313131"/>
          <w:sz w:val="24"/>
        </w:rPr>
        <w:t>?</w:t>
      </w:r>
    </w:p>
    <w:p w14:paraId="1E000000">
      <w:pPr>
        <w:numPr>
          <w:ilvl w:val="0"/>
          <w:numId w:val="2"/>
        </w:numPr>
        <w:spacing w:after="0" w:before="0" w:line="336" w:lineRule="auto"/>
        <w:ind w:hanging="360" w:left="1180"/>
      </w:pPr>
      <w:r>
        <w:rPr>
          <w:color w:val="313131"/>
          <w:sz w:val="24"/>
        </w:rPr>
        <w:t xml:space="preserve">Какие </w:t>
      </w:r>
      <w:r>
        <w:rPr>
          <w:b w:val="1"/>
          <w:color w:val="313131"/>
          <w:sz w:val="24"/>
        </w:rPr>
        <w:t>категории и подкатегории</w:t>
      </w:r>
      <w:r>
        <w:rPr>
          <w:color w:val="313131"/>
          <w:sz w:val="24"/>
        </w:rPr>
        <w:t xml:space="preserve"> продаж приносят больше всего </w:t>
      </w:r>
      <w:r>
        <w:rPr>
          <w:b w:val="1"/>
          <w:color w:val="313131"/>
          <w:sz w:val="24"/>
        </w:rPr>
        <w:t>выручки</w:t>
      </w:r>
      <w:r>
        <w:rPr>
          <w:color w:val="313131"/>
          <w:sz w:val="24"/>
        </w:rPr>
        <w:t>?</w:t>
      </w:r>
    </w:p>
    <w:p w14:paraId="1F000000">
      <w:pPr>
        <w:numPr>
          <w:ilvl w:val="0"/>
          <w:numId w:val="2"/>
        </w:numPr>
        <w:spacing w:after="620" w:before="0" w:line="336" w:lineRule="auto"/>
        <w:ind w:hanging="360" w:left="1180"/>
      </w:pPr>
      <w:r>
        <w:rPr>
          <w:color w:val="313131"/>
          <w:sz w:val="24"/>
        </w:rPr>
        <w:t xml:space="preserve">Какие </w:t>
      </w:r>
      <w:r>
        <w:rPr>
          <w:b w:val="1"/>
          <w:color w:val="313131"/>
          <w:sz w:val="24"/>
        </w:rPr>
        <w:t xml:space="preserve">товары </w:t>
      </w:r>
      <w:r>
        <w:rPr>
          <w:color w:val="313131"/>
          <w:sz w:val="24"/>
        </w:rPr>
        <w:t>продаются лучше всего?</w:t>
      </w:r>
    </w:p>
    <w:p w14:paraId="20000000">
      <w:bookmarkStart w:id="7" w:name="__RefHeading___3"/>
      <w:bookmarkEnd w:id="7"/>
      <w:pPr>
        <w:pStyle w:val="Style_5"/>
      </w:pPr>
      <w:bookmarkStart w:id="8" w:name="_mdapaolhq3cn"/>
      <w:bookmarkEnd w:id="8"/>
      <w:r>
        <w:t>Динамика продаж по месяцам</w:t>
      </w:r>
    </w:p>
    <w:p w14:paraId="21000000"/>
    <w:p w14:paraId="22000000">
      <w:r>
        <w:t xml:space="preserve">SELECT </w:t>
      </w:r>
    </w:p>
    <w:p w14:paraId="23000000">
      <w:r>
        <w:t xml:space="preserve">    DATE_TRUNC('month', order_date)::date orders_date, -- месяц заказов</w:t>
      </w:r>
    </w:p>
    <w:p w14:paraId="24000000">
      <w:r>
        <w:t xml:space="preserve">    ROUND(SUM((price - price*discount)*quantity)) revenue -- выручка за месяц</w:t>
      </w:r>
    </w:p>
    <w:p w14:paraId="25000000">
      <w:r>
        <w:t xml:space="preserve">FROM </w:t>
      </w:r>
    </w:p>
    <w:p w14:paraId="26000000">
      <w:r>
        <w:t xml:space="preserve">    sql.store_carts sc </w:t>
      </w:r>
    </w:p>
    <w:p w14:paraId="27000000">
      <w:r>
        <w:t xml:space="preserve">    JOIN sql.store_products sp ON sc.product_id = sp.product_id</w:t>
      </w:r>
    </w:p>
    <w:p w14:paraId="28000000">
      <w:r>
        <w:t xml:space="preserve">    JOIN sql.store_delivery sd ON sc.order_id = sd.order_id</w:t>
      </w:r>
    </w:p>
    <w:p w14:paraId="29000000">
      <w:r>
        <w:t>GROUP BY  DATE_TRUNC('month', order_date)</w:t>
      </w:r>
    </w:p>
    <w:p w14:paraId="2A000000">
      <w:r>
        <w:t>ORDER BY orders_date</w:t>
      </w:r>
    </w:p>
    <w:p w14:paraId="2B000000"/>
    <w:p w14:paraId="2C000000">
      <w:pPr>
        <w:spacing w:after="620" w:before="460" w:line="336" w:lineRule="auto"/>
        <w:ind w:firstLine="0" w:left="0"/>
        <w:rPr>
          <w:color w:val="313131"/>
          <w:sz w:val="24"/>
        </w:rPr>
      </w:pPr>
      <w:r>
        <w:rPr>
          <w:color w:val="313131"/>
          <w:sz w:val="24"/>
        </w:rPr>
        <w:drawing>
          <wp:inline>
            <wp:extent cx="5731200" cy="25781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2578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after="620" w:before="460" w:line="336" w:lineRule="auto"/>
        <w:ind w:firstLine="0" w:left="0"/>
        <w:rPr>
          <w:color w:val="313131"/>
          <w:sz w:val="24"/>
        </w:rPr>
      </w:pPr>
      <w:r>
        <w:rPr>
          <w:color w:val="313131"/>
          <w:sz w:val="24"/>
        </w:rPr>
        <w:t>На графике можно заметить, что доходы увеличиваются в конце года и падают в начале каждого года.</w:t>
      </w:r>
      <w:r>
        <w:br w:type="page"/>
      </w:r>
    </w:p>
    <w:p w14:paraId="2E000000">
      <w:pPr>
        <w:spacing w:after="620" w:before="460" w:line="336" w:lineRule="auto"/>
        <w:ind w:firstLine="0" w:left="0"/>
        <w:rPr>
          <w:color w:val="313131"/>
          <w:sz w:val="24"/>
        </w:rPr>
      </w:pPr>
      <w:r>
        <w:rPr>
          <w:color w:val="313131"/>
          <w:sz w:val="24"/>
        </w:rPr>
        <w:t>Конкретные данные по доходам в каждом месяце представлены ниже:</w:t>
      </w:r>
    </w:p>
    <w:tbl>
      <w:tblPr>
        <w:tblStyle w:val="Style_6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500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F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month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0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revenue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$9 394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$3 040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$33 638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$20 108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$13 784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$21 739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$23 720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$17 536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$45 852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$22 021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$48 931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$41 632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$11 088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$7 400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$21 547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$18 971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$19 253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$14 764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$19 969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$23 499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$41 462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$21 726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$52 948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$45 949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$12 141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$14 067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$36 057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$28 246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$36 745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$26 777</w:t>
            </w:r>
          </w:p>
        </w:tc>
      </w:tr>
      <w:t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$25 959</w:t>
            </w:r>
          </w:p>
        </w:tc>
      </w:tr>
      <w:t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$20 535</w:t>
            </w:r>
          </w:p>
        </w:tc>
      </w:tr>
      <w:t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$41 531</w:t>
            </w:r>
          </w:p>
        </w:tc>
      </w:tr>
      <w:t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$36 558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$52 114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$57 208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$25 729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$13 416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$37 962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$20 114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$28 979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$35 985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$27 247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$37 409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$55 987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$48 273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$74 906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$52 241</w:t>
            </w:r>
          </w:p>
        </w:tc>
      </w:tr>
    </w:tbl>
    <w:p w14:paraId="91000000">
      <w:pPr>
        <w:spacing w:after="620" w:before="460" w:line="336" w:lineRule="auto"/>
        <w:ind w:firstLine="0" w:left="0"/>
        <w:rPr>
          <w:color w:val="313131"/>
          <w:sz w:val="24"/>
        </w:rPr>
      </w:pPr>
    </w:p>
    <w:p w14:paraId="92000000">
      <w:bookmarkStart w:id="9" w:name="__RefHeading___4"/>
      <w:bookmarkEnd w:id="9"/>
      <w:pPr>
        <w:pStyle w:val="Style_5"/>
      </w:pPr>
      <w:bookmarkStart w:id="10" w:name="_cahqi2wwrh38"/>
      <w:bookmarkEnd w:id="10"/>
      <w:r>
        <w:t>Категории и подкатегории товаров, приносящих наибольший доход</w:t>
      </w:r>
    </w:p>
    <w:p w14:paraId="93000000"/>
    <w:p w14:paraId="94000000">
      <w:r>
        <w:t xml:space="preserve">SELECT </w:t>
      </w:r>
    </w:p>
    <w:p w14:paraId="95000000">
      <w:r>
        <w:t xml:space="preserve">    category,</w:t>
      </w:r>
    </w:p>
    <w:p w14:paraId="96000000">
      <w:r>
        <w:t xml:space="preserve">    subcategory,</w:t>
      </w:r>
    </w:p>
    <w:p w14:paraId="97000000">
      <w:r>
        <w:t xml:space="preserve">    ROUND(SUM((price - price*discount)*quantity)) revenue </w:t>
      </w:r>
    </w:p>
    <w:p w14:paraId="98000000">
      <w:r>
        <w:t xml:space="preserve">FROM </w:t>
      </w:r>
    </w:p>
    <w:p w14:paraId="99000000">
      <w:r>
        <w:t xml:space="preserve">    sql.store_carts sc </w:t>
      </w:r>
    </w:p>
    <w:p w14:paraId="9A000000">
      <w:r>
        <w:t xml:space="preserve">    JOIN sql.store_products sp ON sc.product_id = sp.product_id</w:t>
      </w:r>
    </w:p>
    <w:p w14:paraId="9B000000">
      <w:r>
        <w:t>GROUP BY category, subcategory</w:t>
      </w:r>
    </w:p>
    <w:p w14:paraId="9C000000">
      <w:r>
        <w:t>ORDER BY revenue DESC</w:t>
      </w:r>
    </w:p>
    <w:p w14:paraId="9D000000"/>
    <w:p w14:paraId="9E000000"/>
    <w:tbl>
      <w:tblPr>
        <w:tblStyle w:val="Style_7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500"/>
        <w:gridCol w:w="1500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F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category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0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subcategory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1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revenue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2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Furniture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3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Chairs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$235 318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5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6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Phones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7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$221 110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8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9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Storage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A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$179 736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B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C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Accessories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D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$125 442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E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Furniture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F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Tables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0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$114 532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1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2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Machines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3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$113 978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4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5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Copiers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6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$95 844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7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8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Paper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9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$62 148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A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Furniture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B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Bookcases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C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$59 271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D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E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Appliances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F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$55 550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0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Furniture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1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Furnishings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2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$51 695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3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4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Binders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5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$45 312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6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7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8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$37 457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9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A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Art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B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$22 148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C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D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Envelopes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E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$13 809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F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0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Labels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1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$10 345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2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Supplies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3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Fasteners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400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$2 459</w:t>
            </w:r>
          </w:p>
        </w:tc>
      </w:tr>
    </w:tbl>
    <w:p w14:paraId="D5000000"/>
    <w:p w14:paraId="D6000000"/>
    <w:p w14:paraId="D7000000"/>
    <w:p w14:paraId="D8000000"/>
    <w:p w14:paraId="D9000000">
      <w:r>
        <w:t>На круговой диаграмме можно увидеть процентное соотношение разных групп товаров:</w:t>
      </w:r>
    </w:p>
    <w:p w14:paraId="DA000000"/>
    <w:p w14:paraId="DB000000">
      <w:r>
        <w:drawing>
          <wp:inline>
            <wp:extent cx="5731200" cy="35433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312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C000000"/>
    <w:p w14:paraId="DD000000">
      <w:pPr>
        <w:pStyle w:val="Style_8"/>
      </w:pPr>
      <w:bookmarkStart w:id="11" w:name="_obiy39m803a6"/>
      <w:bookmarkEnd w:id="11"/>
      <w:r>
        <w:br w:type="page"/>
      </w:r>
    </w:p>
    <w:p w14:paraId="DE000000">
      <w:bookmarkStart w:id="12" w:name="__RefHeading___5"/>
      <w:bookmarkEnd w:id="12"/>
      <w:pPr>
        <w:pStyle w:val="Style_5"/>
      </w:pPr>
      <w:bookmarkStart w:id="13" w:name="_c0a8347zyvoi"/>
      <w:bookmarkEnd w:id="13"/>
      <w:r>
        <w:t>Топ-25 товаров по выручке</w:t>
      </w:r>
    </w:p>
    <w:p w14:paraId="DF000000"/>
    <w:p w14:paraId="E0000000">
      <w:r>
        <w:t>WITH total_revenue_CTE AS</w:t>
      </w:r>
    </w:p>
    <w:p w14:paraId="E1000000">
      <w:r>
        <w:t>(</w:t>
      </w:r>
    </w:p>
    <w:p w14:paraId="E2000000">
      <w:r>
        <w:t xml:space="preserve">SELECT </w:t>
      </w:r>
    </w:p>
    <w:p w14:paraId="E3000000">
      <w:r>
        <w:t xml:space="preserve">    SUM((price - price*discount)*quantity) total_revenue -- общая выручка</w:t>
      </w:r>
    </w:p>
    <w:p w14:paraId="E4000000">
      <w:r>
        <w:t xml:space="preserve">FROM </w:t>
      </w:r>
    </w:p>
    <w:p w14:paraId="E5000000">
      <w:r>
        <w:t xml:space="preserve">    sql.store_carts sc </w:t>
      </w:r>
    </w:p>
    <w:p w14:paraId="E6000000">
      <w:r>
        <w:t xml:space="preserve">    JOIN sql.store_products sp ON sc.product_id = sp.product_id</w:t>
      </w:r>
    </w:p>
    <w:p w14:paraId="E7000000">
      <w:r>
        <w:t>)</w:t>
      </w:r>
    </w:p>
    <w:p w14:paraId="E8000000"/>
    <w:p w14:paraId="E9000000">
      <w:r>
        <w:t xml:space="preserve">SELECT </w:t>
      </w:r>
    </w:p>
    <w:p w14:paraId="EA000000">
      <w:r>
        <w:t xml:space="preserve">    product_nm,</w:t>
      </w:r>
    </w:p>
    <w:p w14:paraId="EB000000">
      <w:r>
        <w:t xml:space="preserve">    ROUND(SUM((price - price*discount)*quantity), 2) revenue, </w:t>
      </w:r>
    </w:p>
    <w:p w14:paraId="EC000000">
      <w:r>
        <w:t>/*выручка по конкр.продукту*/</w:t>
      </w:r>
    </w:p>
    <w:p w14:paraId="ED000000">
      <w:r>
        <w:t xml:space="preserve">    SUM(quantity) quantity, -- количество проданных товаров</w:t>
      </w:r>
    </w:p>
    <w:p w14:paraId="EE000000">
      <w:r>
        <w:t xml:space="preserve">    ROUND(SUM((price - price*discount)*quantity)/total_revenue*100, 2) percent_from_total /*процент от общей выручки*/</w:t>
      </w:r>
    </w:p>
    <w:p w14:paraId="EF000000">
      <w:r>
        <w:t xml:space="preserve">FROM </w:t>
      </w:r>
    </w:p>
    <w:p w14:paraId="F0000000">
      <w:r>
        <w:t xml:space="preserve">    sql.store_carts sc </w:t>
      </w:r>
    </w:p>
    <w:p w14:paraId="F1000000">
      <w:r>
        <w:t xml:space="preserve">    JOIN sql.store_products sp ON sc.product_id = sp.product_id</w:t>
      </w:r>
    </w:p>
    <w:p w14:paraId="F2000000">
      <w:r>
        <w:t xml:space="preserve">    CROSS JOIN total_revenue_CTE </w:t>
      </w:r>
    </w:p>
    <w:p w14:paraId="F3000000">
      <w:r>
        <w:t>GROUP BY product_nm, total_revenue</w:t>
      </w:r>
    </w:p>
    <w:p w14:paraId="F4000000">
      <w:r>
        <w:t>ORDER BY revenue DESC</w:t>
      </w:r>
    </w:p>
    <w:p w14:paraId="F5000000">
      <w:r>
        <w:t>LIMIT 25</w:t>
      </w:r>
    </w:p>
    <w:p w14:paraId="F6000000"/>
    <w:p w14:paraId="F7000000"/>
    <w:p w14:paraId="F8000000"/>
    <w:tbl>
      <w:tblPr>
        <w:tblStyle w:val="Style_9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4305"/>
        <w:gridCol w:w="1344"/>
        <w:gridCol w:w="1344"/>
        <w:gridCol w:w="2037"/>
      </w:tblGrid>
      <w:tr>
        <w:trPr>
          <w:trHeight w:hRule="atLeast" w:val="315"/>
        </w:trPr>
        <w:tc>
          <w:tcPr>
            <w:tcW w:type="dxa" w:w="43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9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product_nm</w:t>
            </w:r>
          </w:p>
        </w:tc>
        <w:tc>
          <w:tcPr>
            <w:tcW w:type="dxa" w:w="1344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A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revenue</w:t>
            </w:r>
          </w:p>
        </w:tc>
        <w:tc>
          <w:tcPr>
            <w:tcW w:type="dxa" w:w="1344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B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quantity</w:t>
            </w:r>
          </w:p>
        </w:tc>
        <w:tc>
          <w:tcPr>
            <w:tcW w:type="dxa" w:w="2037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C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percent_from_total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D00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Canon imageCLASS 2200 Advanced Copier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E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$36 960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F00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2,56%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HON 5400 Series Task Chairs for Big and Tall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$15 310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1,06%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3D Systems Cube Printer, 2nd Generation, Magenta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$14 300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0,99%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High Speed Automatic Electric Letter Opener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$13 624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0,94%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Martin Yale Chadless Opener Electric Letter Opener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$13 325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0,92%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Cisco TelePresence System EX90 Videoconferencing Unit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$11 319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0,78%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Hewlett Packard LaserJet 3310 Copier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$11 304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0,78%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Samsung Galaxy Mega 6.3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$11 155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0,77%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Canon PC1060 Personal Laser Copier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$9 296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0,64%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HP Designjet T520 Inkjet Large Format Printer - 24" Color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$9 188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0,64%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Global Troy Executive Leather Low-Back Tilter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$9 083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0,63%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Honeywell Enviracaire Portable HEPA Air Cleaner for 17' x 22' Room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$9 044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0,63%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Tennsco 6- and 18-Compartment Lockers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$8 740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0,60%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Plantronics CS510 - Over-the-Head monaural Wireless Headset System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$8 658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0,60%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SAFCO Arco Folding Chair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$8 101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0,56%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Riverside Palais Royal Lawyers Bookcase, Royale Cherry Finish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$7 805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0,54%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Apple iPhone 5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$7 798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0,54%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Tennsco Double-Tier Lockers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$7 705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0,53%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Ativa V4110MDD Micro-Cut Shredder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$7 700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0,53%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Hon Deluxe Fabric Upholstered Stacking Chairs, Rounded Back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$7 446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0,51%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Tennsco Single-Tier Lockers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$7 327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0,51%</w:t>
            </w:r>
          </w:p>
        </w:tc>
      </w:tr>
      <w:tr>
        <w:trPr>
          <w:trHeight w:hRule="atLeast" w:val="55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1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Office Star - Professional Matrix Back Chair with 2-to-1 Synchro Tilt and Mesh Fabric Seat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$7 020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3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0,49%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5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Zebra ZM400 Thermal Label Printer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$6 966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7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0,48%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9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Hot File 7-Pocket, Floor Stand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$6 511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0,45%</w:t>
            </w:r>
          </w:p>
        </w:tc>
      </w:tr>
      <w:tr>
        <w:trPr>
          <w:trHeight w:hRule="atLeast" w:val="315"/>
        </w:trPr>
        <w:tc>
          <w:tcPr>
            <w:tcW w:type="dxa" w:w="4305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D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Bretford Rectangular Conference Table Tops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$6 498</w:t>
            </w:r>
          </w:p>
        </w:tc>
        <w:tc>
          <w:tcPr>
            <w:tcW w:type="dxa" w:w="1344"/>
            <w:tcBorders>
              <w:top w:color="CCCCCC" w:sz="6" w:val="single"/>
              <w:left w:color="CCCCCC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F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type="dxa" w:w="2037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0,45%</w:t>
            </w:r>
          </w:p>
        </w:tc>
      </w:tr>
    </w:tbl>
    <w:p w14:paraId="61010000"/>
    <w:p w14:paraId="62010000">
      <w:r>
        <w:t xml:space="preserve">В топ-25 товаров представлены товары категорий </w:t>
      </w:r>
      <w:r>
        <w:rPr>
          <w:b w:val="1"/>
        </w:rPr>
        <w:t>Technology, Furniture и Office Supplies</w:t>
      </w:r>
      <w:r>
        <w:t>.</w:t>
      </w:r>
    </w:p>
    <w:p w14:paraId="63010000">
      <w:pPr>
        <w:sectPr>
          <w:type w:val="nextPage"/>
          <w:pgSz w:h="16834" w:orient="portrait" w:w="11909"/>
          <w:pgMar w:bottom="1440" w:footer="720" w:header="720" w:left="1440" w:right="1440" w:top="1440"/>
        </w:sectPr>
      </w:pPr>
    </w:p>
    <w:p w14:paraId="64010000"/>
    <w:p w14:paraId="65010000">
      <w:pPr>
        <w:sectPr>
          <w:type w:val="continuous"/>
          <w:pgSz w:h="16834" w:orient="portrait" w:w="11909"/>
          <w:pgMar w:bottom="1440" w:footer="720" w:header="720" w:left="1440" w:right="1440" w:top="1440"/>
        </w:sectPr>
      </w:pPr>
    </w:p>
    <w:p w14:paraId="66010000">
      <w:bookmarkStart w:id="14" w:name="__RefHeading___6"/>
      <w:bookmarkEnd w:id="14"/>
      <w:pPr>
        <w:pStyle w:val="Style_3"/>
      </w:pPr>
      <w:bookmarkStart w:id="15" w:name="_4bvec2uon26f"/>
      <w:bookmarkEnd w:id="15"/>
      <w:r>
        <w:t>2. Портрет клиента</w:t>
      </w:r>
    </w:p>
    <w:p w14:paraId="67010000">
      <w:pPr>
        <w:numPr>
          <w:ilvl w:val="0"/>
          <w:numId w:val="3"/>
        </w:numPr>
        <w:spacing w:after="0" w:before="460" w:line="336" w:lineRule="auto"/>
        <w:ind w:hanging="360" w:left="1180"/>
      </w:pPr>
      <w:r>
        <w:rPr>
          <w:color w:val="313131"/>
          <w:sz w:val="24"/>
        </w:rPr>
        <w:t xml:space="preserve">Как соотносится </w:t>
      </w:r>
      <w:r>
        <w:rPr>
          <w:b w:val="1"/>
          <w:color w:val="313131"/>
          <w:sz w:val="24"/>
        </w:rPr>
        <w:t>количество клиентов</w:t>
      </w:r>
      <w:r>
        <w:rPr>
          <w:color w:val="313131"/>
          <w:sz w:val="24"/>
        </w:rPr>
        <w:t xml:space="preserve"> по категориям </w:t>
      </w:r>
      <w:r>
        <w:rPr>
          <w:b w:val="1"/>
          <w:i w:val="1"/>
          <w:color w:val="313131"/>
          <w:sz w:val="24"/>
        </w:rPr>
        <w:t>B2B</w:t>
      </w:r>
      <w:r>
        <w:rPr>
          <w:b w:val="1"/>
          <w:color w:val="313131"/>
          <w:sz w:val="24"/>
        </w:rPr>
        <w:t xml:space="preserve"> и </w:t>
      </w:r>
      <w:r>
        <w:rPr>
          <w:b w:val="1"/>
          <w:i w:val="1"/>
          <w:color w:val="313131"/>
          <w:sz w:val="24"/>
        </w:rPr>
        <w:t>B2C</w:t>
      </w:r>
      <w:r>
        <w:rPr>
          <w:color w:val="313131"/>
          <w:sz w:val="24"/>
        </w:rPr>
        <w:t>?</w:t>
      </w:r>
    </w:p>
    <w:p w14:paraId="68010000">
      <w:pPr>
        <w:numPr>
          <w:ilvl w:val="0"/>
          <w:numId w:val="3"/>
        </w:numPr>
        <w:spacing w:after="0" w:before="0" w:line="336" w:lineRule="auto"/>
        <w:ind w:hanging="360" w:left="1180"/>
      </w:pPr>
      <w:r>
        <w:rPr>
          <w:color w:val="313131"/>
          <w:sz w:val="24"/>
        </w:rPr>
        <w:t xml:space="preserve">Как соотносится </w:t>
      </w:r>
      <w:r>
        <w:rPr>
          <w:b w:val="1"/>
          <w:color w:val="313131"/>
          <w:sz w:val="24"/>
        </w:rPr>
        <w:t xml:space="preserve">выручка </w:t>
      </w:r>
      <w:r>
        <w:rPr>
          <w:color w:val="313131"/>
          <w:sz w:val="24"/>
        </w:rPr>
        <w:t>по этим категориям?</w:t>
      </w:r>
    </w:p>
    <w:p w14:paraId="69010000">
      <w:pPr>
        <w:numPr>
          <w:ilvl w:val="0"/>
          <w:numId w:val="3"/>
        </w:numPr>
        <w:spacing w:after="620" w:before="0" w:line="336" w:lineRule="auto"/>
        <w:ind w:hanging="360" w:left="1180"/>
      </w:pPr>
      <w:r>
        <w:rPr>
          <w:color w:val="313131"/>
          <w:sz w:val="24"/>
        </w:rPr>
        <w:t xml:space="preserve">Каких клиентов больше, </w:t>
      </w:r>
      <w:r>
        <w:rPr>
          <w:b w:val="1"/>
          <w:color w:val="313131"/>
          <w:sz w:val="24"/>
        </w:rPr>
        <w:t>новых</w:t>
      </w:r>
      <w:r>
        <w:rPr>
          <w:color w:val="313131"/>
          <w:sz w:val="24"/>
        </w:rPr>
        <w:t xml:space="preserve"> или </w:t>
      </w:r>
      <w:r>
        <w:rPr>
          <w:b w:val="1"/>
          <w:color w:val="313131"/>
          <w:sz w:val="24"/>
        </w:rPr>
        <w:t>старых</w:t>
      </w:r>
      <w:r>
        <w:rPr>
          <w:color w:val="313131"/>
          <w:sz w:val="24"/>
        </w:rPr>
        <w:t>?</w:t>
      </w:r>
    </w:p>
    <w:p w14:paraId="6A010000">
      <w:bookmarkStart w:id="16" w:name="__RefHeading___7"/>
      <w:bookmarkEnd w:id="16"/>
      <w:pPr>
        <w:pStyle w:val="Style_5"/>
      </w:pPr>
      <w:bookmarkStart w:id="17" w:name="_k7hfbyo48pt"/>
      <w:bookmarkEnd w:id="17"/>
      <w:r>
        <w:t>Соотношение B2B и B2C клиентов</w:t>
      </w:r>
    </w:p>
    <w:p w14:paraId="6B010000"/>
    <w:p w14:paraId="6C010000">
      <w:r>
        <w:t xml:space="preserve">SELECT </w:t>
      </w:r>
    </w:p>
    <w:p w14:paraId="6D010000">
      <w:r>
        <w:t xml:space="preserve">    sc.category, -- категория клиента</w:t>
      </w:r>
    </w:p>
    <w:p w14:paraId="6E010000">
      <w:r>
        <w:t xml:space="preserve">    COUNT(DISTINCT sc.cust_id) cust_cnt, -- количество клиентов</w:t>
      </w:r>
    </w:p>
    <w:p w14:paraId="6F010000">
      <w:r>
        <w:t xml:space="preserve">    ROUND(SUM((price - price*discount)*quantity)) revenue -- выручка</w:t>
      </w:r>
    </w:p>
    <w:p w14:paraId="70010000">
      <w:r>
        <w:t xml:space="preserve">FROM </w:t>
      </w:r>
    </w:p>
    <w:p w14:paraId="71010000">
      <w:r>
        <w:t xml:space="preserve">    sql.store_customers sc </w:t>
      </w:r>
    </w:p>
    <w:p w14:paraId="72010000">
      <w:r>
        <w:t xml:space="preserve">    JOIN sql.store_delivery sd ON sc.cust_id = sd.cust_id</w:t>
      </w:r>
    </w:p>
    <w:p w14:paraId="73010000">
      <w:r>
        <w:t xml:space="preserve">    JOIN sql.store_carts o ON sd.order_id = o.order_id</w:t>
      </w:r>
    </w:p>
    <w:p w14:paraId="74010000">
      <w:r>
        <w:t xml:space="preserve">    JOIN sql.store_products sp ON o.product_id = sp.product_id</w:t>
      </w:r>
    </w:p>
    <w:p w14:paraId="75010000">
      <w:r>
        <w:t>GROUP BY sc.category</w:t>
      </w:r>
    </w:p>
    <w:p w14:paraId="76010000">
      <w:r>
        <w:t>ORDER BY revenue DESC</w:t>
      </w:r>
    </w:p>
    <w:p w14:paraId="77010000"/>
    <w:p w14:paraId="78010000"/>
    <w:tbl>
      <w:tblPr>
        <w:tblStyle w:val="Style_10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500"/>
        <w:gridCol w:w="1500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9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category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cust_cnt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B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revenue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C9DAF8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C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Corporate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D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$1 172 009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shd w:fill="F4CC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F01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Consumer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1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$274 148</w:t>
            </w:r>
          </w:p>
        </w:tc>
      </w:tr>
    </w:tbl>
    <w:p w14:paraId="82010000"/>
    <w:p w14:paraId="83010000"/>
    <w:p w14:paraId="84010000"/>
    <w:p w14:paraId="85010000">
      <w:r>
        <w:drawing>
          <wp:inline>
            <wp:extent cx="2500313" cy="18478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2500313" cy="18478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10016" cy="185087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3010016" cy="18508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6010000"/>
    <w:p w14:paraId="87010000">
      <w:r>
        <w:br w:type="page"/>
      </w:r>
    </w:p>
    <w:p w14:paraId="88010000">
      <w:bookmarkStart w:id="18" w:name="__RefHeading___8"/>
      <w:bookmarkEnd w:id="18"/>
      <w:pPr>
        <w:pStyle w:val="Style_5"/>
      </w:pPr>
      <w:bookmarkStart w:id="19" w:name="_ilmc8u32o0lu"/>
      <w:bookmarkEnd w:id="19"/>
      <w:r>
        <w:t>Динамика новых корпоративных клиентов</w:t>
      </w:r>
    </w:p>
    <w:p w14:paraId="89010000"/>
    <w:p w14:paraId="8A010000">
      <w:r>
        <w:t>WITH month_cohorts AS</w:t>
      </w:r>
    </w:p>
    <w:p w14:paraId="8B010000">
      <w:r>
        <w:t>(</w:t>
      </w:r>
    </w:p>
    <w:p w14:paraId="8C010000">
      <w:r>
        <w:t xml:space="preserve">SELECT </w:t>
      </w:r>
    </w:p>
    <w:p w14:paraId="8D010000">
      <w:r>
        <w:t xml:space="preserve">    sc.cust_id,</w:t>
      </w:r>
    </w:p>
    <w:p w14:paraId="8E010000">
      <w:r>
        <w:t xml:space="preserve">    DATE_TRUNC('month', MIN(order_date))::date first_order_month </w:t>
      </w:r>
    </w:p>
    <w:p w14:paraId="8F010000">
      <w:r>
        <w:t>/*месяц, когда клиентом был сделан первый заказ*/</w:t>
      </w:r>
    </w:p>
    <w:p w14:paraId="90010000">
      <w:r>
        <w:t xml:space="preserve">FROM </w:t>
      </w:r>
    </w:p>
    <w:p w14:paraId="91010000">
      <w:r>
        <w:t xml:space="preserve">    sql.store_customers sc </w:t>
      </w:r>
    </w:p>
    <w:p w14:paraId="92010000">
      <w:r>
        <w:t xml:space="preserve">    JOIN sql.store_delivery sd ON sc.cust_id = sd.cust_id</w:t>
      </w:r>
    </w:p>
    <w:p w14:paraId="93010000">
      <w:r>
        <w:t>WHERE sc.category = 'Corporate' -- категория B2B</w:t>
      </w:r>
    </w:p>
    <w:p w14:paraId="94010000">
      <w:r>
        <w:t>GROUP BY sc.cust_id</w:t>
      </w:r>
    </w:p>
    <w:p w14:paraId="95010000">
      <w:r>
        <w:t>)</w:t>
      </w:r>
    </w:p>
    <w:p w14:paraId="96010000"/>
    <w:p w14:paraId="97010000">
      <w:r>
        <w:t xml:space="preserve">SELECT </w:t>
      </w:r>
    </w:p>
    <w:p w14:paraId="98010000">
      <w:r>
        <w:t xml:space="preserve">    first_order_month, -- месяц</w:t>
      </w:r>
    </w:p>
    <w:p w14:paraId="99010000">
      <w:r>
        <w:t xml:space="preserve">    COUNT(cust_id) new_custs -- количество новых клиентов</w:t>
      </w:r>
    </w:p>
    <w:p w14:paraId="9A010000">
      <w:r>
        <w:t>FROM</w:t>
      </w:r>
    </w:p>
    <w:p w14:paraId="9B010000">
      <w:r>
        <w:t xml:space="preserve">    month_cohorts</w:t>
      </w:r>
    </w:p>
    <w:p w14:paraId="9C010000">
      <w:r>
        <w:t>GROUP BY first_order_month</w:t>
      </w:r>
    </w:p>
    <w:p w14:paraId="9D010000">
      <w:r>
        <w:t>ORDER BY first_order_month</w:t>
      </w:r>
    </w:p>
    <w:p w14:paraId="9E010000"/>
    <w:p w14:paraId="9F010000"/>
    <w:p w14:paraId="A0010000">
      <w:r>
        <w:drawing>
          <wp:inline>
            <wp:extent cx="5731200" cy="35433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312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10000">
      <w:r>
        <w:t>По графику видно, что в конце 2017-го года наблюдается резкое падение количества новых корпоративных клиентов, которое и далее продолжает падать. Следует выявить причины отрицательной динамики по новым клиентам в сегменте B2B. Также мы знаем из предыдущего раздела, что выручка, тем не менее, все четыре года обнаруживала тенденции к росту. С этой точки зрения привлечение новых корпоративных клиентов представляется особенно важным.  Далее представлены данные по каждому месяцу:</w:t>
      </w:r>
    </w:p>
    <w:p w14:paraId="A2010000"/>
    <w:tbl>
      <w:tblPr>
        <w:tblStyle w:val="Style_11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830"/>
        <w:gridCol w:w="1500"/>
      </w:tblGrid>
      <w:tr>
        <w:trPr>
          <w:trHeight w:hRule="atLeast" w:val="315"/>
        </w:trPr>
        <w:tc>
          <w:tcPr>
            <w:tcW w:type="dxa" w:w="183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3010000">
            <w:pPr>
              <w:widowControl w:val="0"/>
              <w:ind/>
              <w:rPr>
                <w:sz w:val="20"/>
              </w:rPr>
            </w:pPr>
            <w:r>
              <w:rPr>
                <w:b w:val="1"/>
                <w:sz w:val="20"/>
              </w:rPr>
              <w:t>first_order_month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new_custs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9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B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D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F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1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3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9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B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01.12.2017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D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BF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1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3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9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B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D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F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1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3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01.12.2018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01.02.2019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9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B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D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01.05.2019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F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1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3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01.08.2019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9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01.12.2019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A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B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01.03.2020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C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D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E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F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01.06.2020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0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1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2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3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01.09.2020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4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5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6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hRule="atLeast" w:val="315"/>
        </w:trPr>
        <w:tc>
          <w:tcPr>
            <w:tcW w:type="dxa" w:w="183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701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01.11.2020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shd w:fill="EFEFEF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801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F9010000"/>
    <w:p w14:paraId="FA010000">
      <w:pPr>
        <w:pStyle w:val="Style_5"/>
      </w:pPr>
      <w:bookmarkStart w:id="20" w:name="_5l80dxh6wmau"/>
      <w:bookmarkEnd w:id="20"/>
    </w:p>
    <w:p w14:paraId="FB010000">
      <w:bookmarkStart w:id="21" w:name="__RefHeading___9"/>
      <w:bookmarkEnd w:id="21"/>
      <w:pPr>
        <w:pStyle w:val="Style_5"/>
      </w:pPr>
      <w:bookmarkStart w:id="22" w:name="_ifoxlhghscbj"/>
      <w:bookmarkEnd w:id="22"/>
      <w:r>
        <w:t>Сколько в среднем различных товаров в заказах у корпоративных клиентов?</w:t>
      </w:r>
    </w:p>
    <w:p w14:paraId="FC010000"/>
    <w:p w14:paraId="FD010000">
      <w:r>
        <w:t xml:space="preserve">В среднем </w:t>
      </w:r>
      <w:r>
        <w:rPr>
          <w:b w:val="1"/>
        </w:rPr>
        <w:t>в одном заказе</w:t>
      </w:r>
      <w:r>
        <w:t xml:space="preserve"> корпоративного клиента </w:t>
      </w:r>
      <w:r>
        <w:rPr>
          <w:b w:val="1"/>
        </w:rPr>
        <w:t>2 различных товара</w:t>
      </w:r>
      <w:r>
        <w:t xml:space="preserve">. </w:t>
      </w:r>
    </w:p>
    <w:p w14:paraId="FE010000"/>
    <w:p w14:paraId="FF010000">
      <w:r>
        <w:t>WITH unique_products_per_order_B2B AS</w:t>
      </w:r>
    </w:p>
    <w:p w14:paraId="00020000">
      <w:r>
        <w:t>(</w:t>
      </w:r>
    </w:p>
    <w:p w14:paraId="01020000">
      <w:r>
        <w:t xml:space="preserve">SELECT </w:t>
      </w:r>
    </w:p>
    <w:p w14:paraId="02020000">
      <w:r>
        <w:t xml:space="preserve">    sc.cust_id, -- id клиента</w:t>
      </w:r>
    </w:p>
    <w:p w14:paraId="03020000">
      <w:r>
        <w:t xml:space="preserve">    sd.order_id, -- id заказа</w:t>
      </w:r>
    </w:p>
    <w:p w14:paraId="04020000">
      <w:r>
        <w:t xml:space="preserve">    COUNT(DISTINCT o.product_id) unique_products_cnt </w:t>
      </w:r>
    </w:p>
    <w:p w14:paraId="05020000">
      <w:r>
        <w:t>/*количество различных продуктов*/</w:t>
      </w:r>
    </w:p>
    <w:p w14:paraId="06020000">
      <w:r>
        <w:t xml:space="preserve"> FROM </w:t>
      </w:r>
    </w:p>
    <w:p w14:paraId="07020000">
      <w:r>
        <w:t xml:space="preserve">    sql.store_customers sc </w:t>
      </w:r>
    </w:p>
    <w:p w14:paraId="08020000">
      <w:r>
        <w:t xml:space="preserve">    JOIN sql.store_delivery sd ON sc.cust_id = sd.cust_id</w:t>
      </w:r>
    </w:p>
    <w:p w14:paraId="09020000">
      <w:r>
        <w:t xml:space="preserve">    JOIN sql.store_carts o ON sd.order_id = o.order_id</w:t>
      </w:r>
    </w:p>
    <w:p w14:paraId="0A020000">
      <w:r>
        <w:t xml:space="preserve">WHERE sc.category = 'Corporate' </w:t>
      </w:r>
    </w:p>
    <w:p w14:paraId="0B020000">
      <w:r>
        <w:t>GROUP BY sc.cust_id, sd.order_id</w:t>
      </w:r>
    </w:p>
    <w:p w14:paraId="0C020000">
      <w:r>
        <w:t>)</w:t>
      </w:r>
    </w:p>
    <w:p w14:paraId="0D020000"/>
    <w:p w14:paraId="0E020000">
      <w:r>
        <w:t xml:space="preserve">SELECT </w:t>
      </w:r>
    </w:p>
    <w:p w14:paraId="0F020000">
      <w:r>
        <w:t xml:space="preserve">    AVG(unique_products_cnt) /*среднее количество различных продуктов в заказе*/</w:t>
      </w:r>
    </w:p>
    <w:p w14:paraId="10020000">
      <w:r>
        <w:t>FROM unique_products_per_order_B2B</w:t>
      </w:r>
    </w:p>
    <w:p w14:paraId="11020000">
      <w:bookmarkStart w:id="23" w:name="__RefHeading___10"/>
      <w:bookmarkEnd w:id="23"/>
      <w:pPr>
        <w:pStyle w:val="Style_5"/>
        <w:keepLines w:val="0"/>
        <w:spacing w:after="200" w:line="240" w:lineRule="auto"/>
        <w:ind/>
      </w:pPr>
      <w:r>
        <w:br w:type="page"/>
      </w:r>
      <w:bookmarkStart w:id="24" w:name="_v3pu5xgwchs6"/>
      <w:bookmarkEnd w:id="24"/>
      <w:r>
        <w:t>Какая в среднем сумма заказов у корпоративных клиентов?</w:t>
      </w:r>
    </w:p>
    <w:p w14:paraId="12020000"/>
    <w:p w14:paraId="13020000">
      <w:pPr>
        <w:keepLines w:val="0"/>
        <w:spacing w:after="200" w:before="200" w:line="240" w:lineRule="auto"/>
        <w:ind/>
      </w:pPr>
      <w:r>
        <w:t xml:space="preserve">Средняя </w:t>
      </w:r>
      <w:r>
        <w:rPr>
          <w:b w:val="1"/>
        </w:rPr>
        <w:t>выручка с одного заказа</w:t>
      </w:r>
      <w:r>
        <w:t xml:space="preserve"> у корпоративного клиента составляет </w:t>
      </w:r>
      <w:r>
        <w:rPr>
          <w:b w:val="1"/>
        </w:rPr>
        <w:t>286 $</w:t>
      </w:r>
      <w:r>
        <w:t>.</w:t>
      </w:r>
    </w:p>
    <w:p w14:paraId="14020000">
      <w:r>
        <w:t>WITH revenue_per_order_B2B AS</w:t>
      </w:r>
    </w:p>
    <w:p w14:paraId="15020000">
      <w:r>
        <w:t>(</w:t>
      </w:r>
    </w:p>
    <w:p w14:paraId="16020000">
      <w:r>
        <w:t xml:space="preserve">SELECT </w:t>
      </w:r>
    </w:p>
    <w:p w14:paraId="17020000">
      <w:r>
        <w:t xml:space="preserve">    o.order_id,</w:t>
      </w:r>
    </w:p>
    <w:p w14:paraId="18020000">
      <w:r>
        <w:t xml:space="preserve">    ROUND(SUM((price - price*discount)*quantity)) order_revenue</w:t>
      </w:r>
    </w:p>
    <w:p w14:paraId="19020000">
      <w:r>
        <w:t xml:space="preserve">FROM </w:t>
      </w:r>
    </w:p>
    <w:p w14:paraId="1A020000">
      <w:r>
        <w:t xml:space="preserve">    sql.store_customers sc </w:t>
      </w:r>
    </w:p>
    <w:p w14:paraId="1B020000">
      <w:r>
        <w:t xml:space="preserve">    JOIN sql.store_delivery sd ON sc.cust_id = sd.cust_id</w:t>
      </w:r>
    </w:p>
    <w:p w14:paraId="1C020000">
      <w:r>
        <w:t xml:space="preserve">    JOIN sql.store_carts o ON sd.order_id = o.order_id</w:t>
      </w:r>
    </w:p>
    <w:p w14:paraId="1D020000">
      <w:r>
        <w:t xml:space="preserve">    JOIN sql.store_products sp ON o.product_id = sp.product_id</w:t>
      </w:r>
    </w:p>
    <w:p w14:paraId="1E020000">
      <w:r>
        <w:t>WHERE sc.category = 'Corporate'</w:t>
      </w:r>
    </w:p>
    <w:p w14:paraId="1F020000">
      <w:r>
        <w:t>GROUP BY o.order_id</w:t>
      </w:r>
    </w:p>
    <w:p w14:paraId="20020000">
      <w:r>
        <w:t>)</w:t>
      </w:r>
    </w:p>
    <w:p w14:paraId="21020000"/>
    <w:p w14:paraId="22020000">
      <w:r>
        <w:t xml:space="preserve">SELECT </w:t>
      </w:r>
    </w:p>
    <w:p w14:paraId="23020000">
      <w:r>
        <w:t xml:space="preserve">    ROUND(AVG(order_revenue)) -- средняя выручка за 1 заказ</w:t>
      </w:r>
    </w:p>
    <w:p w14:paraId="24020000">
      <w:r>
        <w:t xml:space="preserve">FROM </w:t>
      </w:r>
    </w:p>
    <w:p w14:paraId="25020000">
      <w:r>
        <w:t xml:space="preserve">    revenue_per_order_B2B</w:t>
      </w:r>
    </w:p>
    <w:p w14:paraId="26020000"/>
    <w:p w14:paraId="27020000"/>
    <w:p w14:paraId="28020000">
      <w:pPr>
        <w:pStyle w:val="Style_8"/>
        <w:spacing w:after="200" w:before="200" w:line="336" w:lineRule="auto"/>
        <w:ind/>
      </w:pPr>
      <w:bookmarkStart w:id="25" w:name="_7dk9qplev52j"/>
      <w:bookmarkEnd w:id="25"/>
      <w:r>
        <w:t>Сколько в среднем различных офисов у корпоративных клиентов?</w:t>
      </w:r>
    </w:p>
    <w:p w14:paraId="29020000">
      <w:pPr>
        <w:spacing w:after="200" w:before="200" w:line="336" w:lineRule="auto"/>
        <w:ind/>
      </w:pPr>
      <w:r>
        <w:t xml:space="preserve">На одного корпоративного клиента приходится около </w:t>
      </w:r>
      <w:r>
        <w:rPr>
          <w:b w:val="1"/>
        </w:rPr>
        <w:t>6</w:t>
      </w:r>
      <w:r>
        <w:t xml:space="preserve"> различных </w:t>
      </w:r>
      <w:r>
        <w:rPr>
          <w:b w:val="1"/>
        </w:rPr>
        <w:t>офисов</w:t>
      </w:r>
      <w:r>
        <w:t xml:space="preserve">. </w:t>
      </w:r>
    </w:p>
    <w:p w14:paraId="2A020000">
      <w:r>
        <w:t xml:space="preserve">WITH offices_per_customer_B2B AS </w:t>
      </w:r>
    </w:p>
    <w:p w14:paraId="2B020000">
      <w:r>
        <w:t>(</w:t>
      </w:r>
    </w:p>
    <w:p w14:paraId="2C020000">
      <w:r>
        <w:t xml:space="preserve">SELECT </w:t>
      </w:r>
    </w:p>
    <w:p w14:paraId="2D020000">
      <w:r>
        <w:t xml:space="preserve">    sc.cust_id,</w:t>
      </w:r>
    </w:p>
    <w:p w14:paraId="2E020000">
      <w:r>
        <w:t xml:space="preserve">    COUNT(DISTINCT zip_code) office_cnt -- кол-во офисов клиента</w:t>
      </w:r>
    </w:p>
    <w:p w14:paraId="2F020000">
      <w:r>
        <w:t xml:space="preserve">FROM </w:t>
      </w:r>
    </w:p>
    <w:p w14:paraId="30020000">
      <w:r>
        <w:t xml:space="preserve">    sql.store_customers sc </w:t>
      </w:r>
    </w:p>
    <w:p w14:paraId="31020000">
      <w:r>
        <w:t xml:space="preserve">    JOIN sql.store_delivery sd ON sc.cust_id = sd.cust_id</w:t>
      </w:r>
    </w:p>
    <w:p w14:paraId="32020000">
      <w:r>
        <w:t xml:space="preserve">    </w:t>
      </w:r>
    </w:p>
    <w:p w14:paraId="33020000">
      <w:r>
        <w:t>WHERE sc.category = 'Corporate'</w:t>
      </w:r>
    </w:p>
    <w:p w14:paraId="34020000">
      <w:r>
        <w:t>GROUP BY sc.cust_id</w:t>
      </w:r>
    </w:p>
    <w:p w14:paraId="35020000">
      <w:r>
        <w:t>)</w:t>
      </w:r>
    </w:p>
    <w:p w14:paraId="36020000"/>
    <w:p w14:paraId="37020000">
      <w:r>
        <w:t xml:space="preserve">SELECT </w:t>
      </w:r>
    </w:p>
    <w:p w14:paraId="38020000">
      <w:r>
        <w:t xml:space="preserve">    ROUND(AVG(office_cnt)) -- среднее кол-во офисов на одного B2B клиента</w:t>
      </w:r>
    </w:p>
    <w:p w14:paraId="39020000">
      <w:r>
        <w:t xml:space="preserve">FROM </w:t>
      </w:r>
    </w:p>
    <w:p w14:paraId="3A020000">
      <w:r>
        <w:t xml:space="preserve">    offices_per_customer_B2B</w:t>
      </w:r>
    </w:p>
    <w:p w14:paraId="3B020000">
      <w:pPr>
        <w:sectPr>
          <w:type w:val="nextPage"/>
          <w:pgSz w:h="16834" w:orient="portrait" w:w="11909"/>
          <w:pgMar w:bottom="1440" w:footer="720" w:header="720" w:left="1440" w:right="1440" w:top="1440"/>
        </w:sectPr>
      </w:pPr>
    </w:p>
    <w:p w14:paraId="3C020000">
      <w:bookmarkStart w:id="26" w:name="__RefHeading___16"/>
      <w:bookmarkEnd w:id="26"/>
      <w:pPr>
        <w:pStyle w:val="Style_3"/>
        <w:spacing w:after="200" w:before="200" w:line="276" w:lineRule="auto"/>
        <w:ind/>
      </w:pPr>
      <w:bookmarkStart w:id="27" w:name="_w313f39bzj0r"/>
      <w:bookmarkEnd w:id="27"/>
      <w:r>
        <w:t>3. Логистика компании</w:t>
      </w:r>
    </w:p>
    <w:p w14:paraId="3D020000">
      <w:pPr>
        <w:keepNext w:val="0"/>
        <w:keepLines w:val="0"/>
        <w:pageBreakBefore w:val="0"/>
        <w:widowControl w:val="1"/>
        <w:numPr>
          <w:ilvl w:val="0"/>
          <w:numId w:val="3"/>
        </w:numPr>
        <w:spacing w:after="200" w:before="200" w:line="276" w:lineRule="auto"/>
        <w:ind w:hanging="360" w:left="1180" w:right="0"/>
        <w:jc w:val="left"/>
      </w:pPr>
      <w:r>
        <w:rPr>
          <w:color w:val="313131"/>
          <w:sz w:val="24"/>
        </w:rPr>
        <w:t xml:space="preserve">Насколько </w:t>
      </w:r>
      <w:r>
        <w:rPr>
          <w:b w:val="1"/>
          <w:color w:val="313131"/>
          <w:sz w:val="24"/>
        </w:rPr>
        <w:t xml:space="preserve">эффективно </w:t>
      </w:r>
      <w:r>
        <w:rPr>
          <w:color w:val="313131"/>
          <w:sz w:val="24"/>
        </w:rPr>
        <w:t xml:space="preserve">выполняются </w:t>
      </w:r>
      <w:r>
        <w:rPr>
          <w:color w:val="313131"/>
          <w:sz w:val="24"/>
        </w:rPr>
        <w:t>текущие доставки</w:t>
      </w:r>
      <w:r>
        <w:rPr>
          <w:color w:val="313131"/>
          <w:sz w:val="24"/>
        </w:rPr>
        <w:t>?</w:t>
      </w:r>
    </w:p>
    <w:p w14:paraId="3E020000">
      <w:pPr>
        <w:keepNext w:val="0"/>
        <w:keepLines w:val="0"/>
        <w:pageBreakBefore w:val="0"/>
        <w:widowControl w:val="1"/>
        <w:numPr>
          <w:ilvl w:val="0"/>
          <w:numId w:val="3"/>
        </w:numPr>
        <w:spacing w:after="200" w:before="200" w:line="276" w:lineRule="auto"/>
        <w:ind w:hanging="360" w:left="1180" w:right="0"/>
        <w:jc w:val="left"/>
      </w:pPr>
      <w:r>
        <w:rPr>
          <w:color w:val="313131"/>
          <w:sz w:val="24"/>
        </w:rPr>
        <w:t xml:space="preserve">Как распределяются доставки и выручка </w:t>
      </w:r>
      <w:r>
        <w:rPr>
          <w:b w:val="1"/>
          <w:color w:val="313131"/>
          <w:sz w:val="24"/>
        </w:rPr>
        <w:t>по штатам и городам</w:t>
      </w:r>
      <w:r>
        <w:rPr>
          <w:color w:val="313131"/>
          <w:sz w:val="24"/>
        </w:rPr>
        <w:t xml:space="preserve">? </w:t>
      </w:r>
    </w:p>
    <w:p w14:paraId="3F020000">
      <w:bookmarkStart w:id="28" w:name="__RefHeading___12"/>
      <w:bookmarkEnd w:id="28"/>
      <w:pPr>
        <w:pStyle w:val="Style_5"/>
        <w:spacing w:after="0" w:before="200" w:line="276" w:lineRule="auto"/>
        <w:ind/>
      </w:pPr>
      <w:bookmarkStart w:id="29" w:name="_altqlm8smyzo"/>
      <w:bookmarkEnd w:id="29"/>
      <w:r>
        <w:t>Эффективность доставок</w:t>
      </w:r>
    </w:p>
    <w:p w14:paraId="40020000">
      <w:pPr>
        <w:spacing w:after="0" w:before="200"/>
        <w:ind/>
        <w:rPr>
          <w:u w:val="single"/>
        </w:rPr>
      </w:pPr>
      <w:r>
        <w:rPr>
          <w:u w:val="single"/>
        </w:rPr>
        <w:t>Оценка эффективности в зависимости от типа доставки:</w:t>
      </w:r>
    </w:p>
    <w:p w14:paraId="41020000">
      <w:pPr>
        <w:rPr>
          <w:u w:val="single"/>
        </w:rPr>
      </w:pPr>
    </w:p>
    <w:p w14:paraId="42020000">
      <w:r>
        <w:t xml:space="preserve">WITH delivery_success AS </w:t>
      </w:r>
    </w:p>
    <w:p w14:paraId="43020000">
      <w:r>
        <w:t>(</w:t>
      </w:r>
    </w:p>
    <w:p w14:paraId="44020000">
      <w:r>
        <w:t xml:space="preserve">SELECT </w:t>
      </w:r>
    </w:p>
    <w:p w14:paraId="45020000">
      <w:r>
        <w:t xml:space="preserve">    order_id,</w:t>
      </w:r>
    </w:p>
    <w:p w14:paraId="46020000">
      <w:r>
        <w:t xml:space="preserve">    CASE WHEN ship_mode = 'Standard Class' and ship_date - order_date &lt;= 6 THEN 1</w:t>
      </w:r>
    </w:p>
    <w:p w14:paraId="47020000">
      <w:r>
        <w:t xml:space="preserve">        WHEN ship_mode = 'Second Class' and ship_date - order_date &lt;= 4 THEN 1</w:t>
      </w:r>
    </w:p>
    <w:p w14:paraId="48020000">
      <w:r>
        <w:t xml:space="preserve">        WHEN ship_mode = 'First Class' and ship_date - order_date &lt;= 3 THEN 1</w:t>
      </w:r>
    </w:p>
    <w:p w14:paraId="49020000">
      <w:r>
        <w:t xml:space="preserve">        WHEN ship_mode = 'Same Day' and ship_date - order_date &lt;= 0 THEN 1</w:t>
      </w:r>
    </w:p>
    <w:p w14:paraId="4A020000">
      <w:r>
        <w:t xml:space="preserve">        ELSE NULL END success</w:t>
      </w:r>
    </w:p>
    <w:p w14:paraId="4B020000">
      <w:r>
        <w:t xml:space="preserve">    /*подсчёт заказов, доставленных в срок, в соответствии с типом доставки*/</w:t>
      </w:r>
    </w:p>
    <w:p w14:paraId="4C020000">
      <w:r>
        <w:t>FROM sql.store_delivery</w:t>
      </w:r>
    </w:p>
    <w:p w14:paraId="4D020000">
      <w:r>
        <w:t>)</w:t>
      </w:r>
    </w:p>
    <w:p w14:paraId="4E020000"/>
    <w:p w14:paraId="4F020000">
      <w:r>
        <w:t xml:space="preserve">SELECT </w:t>
      </w:r>
    </w:p>
    <w:p w14:paraId="50020000">
      <w:r>
        <w:t xml:space="preserve">    ship_mode, -- тип доставки</w:t>
      </w:r>
    </w:p>
    <w:p w14:paraId="51020000">
      <w:r>
        <w:t xml:space="preserve">    COUNT(sd.order_id) orders_cnt, -- общее количество заказов</w:t>
      </w:r>
    </w:p>
    <w:p w14:paraId="52020000">
      <w:r>
        <w:t xml:space="preserve">    COUNT(sd.order_id) - SUM(success) late_orders_cnt, </w:t>
      </w:r>
    </w:p>
    <w:p w14:paraId="53020000">
      <w:r>
        <w:t>/*количество заказов, доставленных с опозданием*/</w:t>
      </w:r>
    </w:p>
    <w:p w14:paraId="54020000">
      <w:r>
        <w:t xml:space="preserve">    ROUND(COUNT(success)::decimal/COUNT(sd.order_id)::decimal * 100, 2) "% success" /*процент заказов, доставленных в срок*/</w:t>
      </w:r>
    </w:p>
    <w:p w14:paraId="55020000">
      <w:r>
        <w:t xml:space="preserve">FROM </w:t>
      </w:r>
    </w:p>
    <w:p w14:paraId="56020000">
      <w:r>
        <w:t xml:space="preserve">    sql.store_delivery sd </w:t>
      </w:r>
    </w:p>
    <w:p w14:paraId="57020000">
      <w:r>
        <w:t xml:space="preserve">    JOIN delivery_success ds ON sd.order_id = ds.order_id</w:t>
      </w:r>
    </w:p>
    <w:p w14:paraId="58020000">
      <w:r>
        <w:t>GROUP BY ship_mode</w:t>
      </w:r>
    </w:p>
    <w:p w14:paraId="59020000">
      <w:r>
        <w:t>ORDER BY "% success"</w:t>
      </w:r>
    </w:p>
    <w:p w14:paraId="5A020000"/>
    <w:tbl>
      <w:tblPr>
        <w:tblStyle w:val="Style_1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500"/>
        <w:gridCol w:w="1590"/>
        <w:gridCol w:w="1500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B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ship_mode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orders_cnt</w:t>
            </w:r>
          </w:p>
        </w:tc>
        <w:tc>
          <w:tcPr>
            <w:tcW w:type="dxa" w:w="159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D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late_orders_cnt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% success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CFE2F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F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Second Class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4CC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0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964</w:t>
            </w:r>
          </w:p>
        </w:tc>
        <w:tc>
          <w:tcPr>
            <w:tcW w:type="dxa" w:w="159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shd w:fill="F4CC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1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4CC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2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79,05%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CFE2F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3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Standard Class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4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2994</w:t>
            </w:r>
          </w:p>
        </w:tc>
        <w:tc>
          <w:tcPr>
            <w:tcW w:type="dxa" w:w="159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5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6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89,68%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CFE2F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7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Same Day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8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type="dxa" w:w="1590"/>
            <w:tcBorders>
              <w:top w:color="CCCCCC" w:sz="6" w:val="single"/>
              <w:left w:color="CCCCCC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9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A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95,45%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shd w:fill="CFE2F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B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First Class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787</w:t>
            </w:r>
          </w:p>
        </w:tc>
        <w:tc>
          <w:tcPr>
            <w:tcW w:type="dxa" w:w="1590"/>
            <w:tcBorders>
              <w:top w:color="CCCCCC" w:sz="6" w:val="single"/>
              <w:left w:color="CCCCCC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D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99,87%</w:t>
            </w:r>
          </w:p>
        </w:tc>
      </w:tr>
    </w:tbl>
    <w:p w14:paraId="6F020000"/>
    <w:p w14:paraId="70020000">
      <w:pPr>
        <w:rPr>
          <w:b w:val="1"/>
        </w:rPr>
      </w:pPr>
      <w:r>
        <w:t xml:space="preserve">Из таблицы можно сделать вывод, что больше всего </w:t>
      </w:r>
      <w:r>
        <w:rPr>
          <w:b w:val="1"/>
        </w:rPr>
        <w:t xml:space="preserve">проблем </w:t>
      </w:r>
      <w:r>
        <w:t xml:space="preserve">существует с </w:t>
      </w:r>
      <w:r>
        <w:rPr>
          <w:b w:val="1"/>
        </w:rPr>
        <w:t>доставкой</w:t>
      </w:r>
    </w:p>
    <w:p w14:paraId="71020000">
      <w:r>
        <w:rPr>
          <w:b w:val="1"/>
        </w:rPr>
        <w:t>типа Second Class</w:t>
      </w:r>
      <w:r>
        <w:t xml:space="preserve"> (только 79% заказов были доставлены вовремя).</w:t>
      </w:r>
      <w:r>
        <w:br w:type="page"/>
      </w:r>
    </w:p>
    <w:p w14:paraId="72020000">
      <w:r>
        <w:rPr>
          <w:u w:val="single"/>
        </w:rPr>
        <w:t>Оценка доли доставленных с опозданием заказов c типом доставки Second Class в динамике по кварталам:</w:t>
      </w:r>
    </w:p>
    <w:p w14:paraId="73020000"/>
    <w:p w14:paraId="74020000">
      <w:r>
        <w:t xml:space="preserve">WITH delivery_success AS </w:t>
      </w:r>
    </w:p>
    <w:p w14:paraId="75020000">
      <w:r>
        <w:t>(</w:t>
      </w:r>
    </w:p>
    <w:p w14:paraId="76020000">
      <w:r>
        <w:t xml:space="preserve">SELECT </w:t>
      </w:r>
    </w:p>
    <w:p w14:paraId="77020000">
      <w:r>
        <w:t xml:space="preserve">    order_id,</w:t>
      </w:r>
    </w:p>
    <w:p w14:paraId="78020000">
      <w:r>
        <w:t xml:space="preserve">    CASE WHEN ship_mode = 'Standard Class' and ship_date - order_date &lt;= 6 THEN 1</w:t>
      </w:r>
    </w:p>
    <w:p w14:paraId="79020000">
      <w:r>
        <w:t xml:space="preserve">        WHEN ship_mode = 'Second Class' and ship_date - order_date &lt;= 4 THEN 1</w:t>
      </w:r>
    </w:p>
    <w:p w14:paraId="7A020000">
      <w:r>
        <w:t xml:space="preserve">        WHEN ship_mode = 'First Class' and ship_date - order_date &lt;= 3 THEN 1</w:t>
      </w:r>
    </w:p>
    <w:p w14:paraId="7B020000">
      <w:r>
        <w:t xml:space="preserve">        WHEN ship_mode = 'Same Day' and ship_date - order_date &lt;= 0 THEN 1</w:t>
      </w:r>
    </w:p>
    <w:p w14:paraId="7C020000">
      <w:r>
        <w:t xml:space="preserve">        ELSE NULL END success -- подсчёт доставленных вовремя заказов</w:t>
      </w:r>
    </w:p>
    <w:p w14:paraId="7D020000">
      <w:r>
        <w:t>FROM sql.store_delivery</w:t>
      </w:r>
    </w:p>
    <w:p w14:paraId="7E020000">
      <w:r>
        <w:t>)</w:t>
      </w:r>
    </w:p>
    <w:p w14:paraId="7F020000"/>
    <w:p w14:paraId="80020000">
      <w:r>
        <w:t xml:space="preserve">SELECT </w:t>
      </w:r>
    </w:p>
    <w:p w14:paraId="81020000">
      <w:r>
        <w:t xml:space="preserve">    DATE_TRUNC('quarter', order_date), -- квартал года</w:t>
      </w:r>
    </w:p>
    <w:p w14:paraId="82020000">
      <w:r>
        <w:t xml:space="preserve">    ROUND((COUNT(sd.order_id) - SUM(success))::decimal / COUNT(sd.order_id)::decimal * 100, 2) late_orders_rate /*процент заказов, доставленных с опозданием*/</w:t>
      </w:r>
    </w:p>
    <w:p w14:paraId="83020000">
      <w:r>
        <w:t xml:space="preserve">FROM </w:t>
      </w:r>
    </w:p>
    <w:p w14:paraId="84020000">
      <w:r>
        <w:t xml:space="preserve">    sql.store_delivery sd </w:t>
      </w:r>
    </w:p>
    <w:p w14:paraId="85020000">
      <w:r>
        <w:t xml:space="preserve">    JOIN delivery_success ds ON sd.order_id = ds.order_id</w:t>
      </w:r>
    </w:p>
    <w:p w14:paraId="86020000">
      <w:r>
        <w:t>WHERE ship_mode = 'Second Class' -- тип доставки только Second Class</w:t>
      </w:r>
    </w:p>
    <w:p w14:paraId="87020000">
      <w:r>
        <w:t>GROUP BY DATE_TRUNC('quarter', order_date)</w:t>
      </w:r>
    </w:p>
    <w:p w14:paraId="88020000">
      <w:r>
        <w:t>ORDER BY DATE_TRUNC('quarter', order_date)</w:t>
      </w:r>
    </w:p>
    <w:p w14:paraId="89020000"/>
    <w:p w14:paraId="8A020000">
      <w:r>
        <w:drawing>
          <wp:inline>
            <wp:extent cx="6129338" cy="324802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6129338" cy="3248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B020000"/>
    <w:p w14:paraId="8C020000">
      <w:r>
        <w:br w:type="page"/>
      </w:r>
    </w:p>
    <w:p w14:paraId="8D020000"/>
    <w:tbl>
      <w:tblPr>
        <w:tblStyle w:val="Style_13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665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quarter</w:t>
            </w:r>
          </w:p>
        </w:tc>
        <w:tc>
          <w:tcPr>
            <w:tcW w:type="dxa" w:w="1665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F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late_orders_rate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0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01.01.2017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1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23,08%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2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01.04.2017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3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13,16%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4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01.07.2017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5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34,69%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6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01.10.2017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7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24,68%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8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01.01.2018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9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14,71%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A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01.04.2018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B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30,56%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C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01.07.2018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D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19,64%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E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01.10.2018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F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21,25%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0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01.01.2019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1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7,50%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2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01.04.2019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3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14,81%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4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01.07.2019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5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21,92%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6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01.10.2019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7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20,78%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8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01.01.2020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9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26,00%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A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01.04.2020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B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15,00%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C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01.07.2020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D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21,11%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E02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01.10.2020</w:t>
            </w:r>
          </w:p>
        </w:tc>
        <w:tc>
          <w:tcPr>
            <w:tcW w:type="dxa" w:w="1665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F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21,77%</w:t>
            </w:r>
          </w:p>
        </w:tc>
      </w:tr>
    </w:tbl>
    <w:p w14:paraId="B0020000">
      <w:r>
        <w:t xml:space="preserve"> </w:t>
      </w:r>
    </w:p>
    <w:p w14:paraId="B1020000">
      <w:r>
        <w:t>Исходя из графика и данных, доля поздних доставок распределяется по кварталам года относительно равномерно, из чего можно сделать вывод, что доставки второго класса постоянно осуществляются с опозданием.</w:t>
      </w:r>
    </w:p>
    <w:p w14:paraId="B2020000"/>
    <w:p w14:paraId="B3020000">
      <w:bookmarkStart w:id="30" w:name="__RefHeading___13"/>
      <w:bookmarkEnd w:id="30"/>
      <w:pPr>
        <w:pStyle w:val="Style_5"/>
      </w:pPr>
      <w:bookmarkStart w:id="31" w:name="_2k63vwa1q35o"/>
      <w:bookmarkEnd w:id="31"/>
      <w:r>
        <w:t>Количество доставок в зависимости от штата</w:t>
      </w:r>
    </w:p>
    <w:p w14:paraId="B4020000">
      <w:r>
        <w:t>Количество доставок будем считать по количеству заказов на основе таблицы store_delivery.</w:t>
      </w:r>
    </w:p>
    <w:p w14:paraId="B5020000"/>
    <w:p w14:paraId="B6020000">
      <w:r>
        <w:t xml:space="preserve">SELECT </w:t>
      </w:r>
    </w:p>
    <w:p w14:paraId="B7020000">
      <w:r>
        <w:t xml:space="preserve">    state, -- штат</w:t>
      </w:r>
    </w:p>
    <w:p w14:paraId="B8020000">
      <w:r>
        <w:t xml:space="preserve">    COUNT(order_id) orders_cnt -- кол-во заказов в штате за весь период</w:t>
      </w:r>
    </w:p>
    <w:p w14:paraId="B9020000">
      <w:r>
        <w:t xml:space="preserve">FROM </w:t>
      </w:r>
    </w:p>
    <w:p w14:paraId="BA020000">
      <w:r>
        <w:t xml:space="preserve">    sql.store_delivery </w:t>
      </w:r>
    </w:p>
    <w:p w14:paraId="BB020000">
      <w:r>
        <w:t>GROUP BY state</w:t>
      </w:r>
    </w:p>
    <w:p w14:paraId="BC020000">
      <w:r>
        <w:t>ORDER BY COUNT(order_id) DESC</w:t>
      </w:r>
    </w:p>
    <w:p w14:paraId="BD020000"/>
    <w:p w14:paraId="BE020000"/>
    <w:p w14:paraId="BF020000">
      <w:r>
        <w:t xml:space="preserve">На представленной ниже диаграмме видно, что самым перспективным штатом для открытия офлайн-магазина является </w:t>
      </w:r>
      <w:r>
        <w:rPr>
          <w:b w:val="1"/>
        </w:rPr>
        <w:t>Калифорния</w:t>
      </w:r>
      <w:r>
        <w:t>, т.к. доля заказов в этом штате составляет</w:t>
      </w:r>
      <w:r>
        <w:rPr>
          <w:sz w:val="28"/>
        </w:rPr>
        <w:t xml:space="preserve"> </w:t>
      </w:r>
      <w:r>
        <w:rPr>
          <w:b w:val="1"/>
          <w:sz w:val="28"/>
        </w:rPr>
        <w:t>⅕</w:t>
      </w:r>
      <w:r>
        <w:rPr>
          <w:b w:val="1"/>
        </w:rPr>
        <w:t xml:space="preserve"> всех заказов </w:t>
      </w:r>
      <w:r>
        <w:t>(более 20%):</w:t>
      </w:r>
    </w:p>
    <w:p w14:paraId="C0020000">
      <w:pPr>
        <w:rPr>
          <w:b w:val="1"/>
        </w:rPr>
      </w:pPr>
      <w:r>
        <w:rPr>
          <w:b w:val="1"/>
        </w:rPr>
        <w:drawing>
          <wp:inline>
            <wp:extent cx="5731200" cy="35433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7312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1020000">
      <w:r>
        <w:t xml:space="preserve">Лидер среди городов по количеству заказов - Нью-Йорк. Тем не менее, отдать предпочтение стоит именно Калифорнии. Мы видим на диаграмме и в приведённой ниже таблице, что поставки в Калифорнию почти вдвое превышают поставки в Нью-Йорк. </w:t>
      </w:r>
    </w:p>
    <w:p w14:paraId="C2020000">
      <w:r>
        <w:t>Штаты Нью-Йорк и Техас следуют друг за другом с небольшим отрывом, Нью-Йорк  - следующий потенциальный кандидат для открытия новой офлайн-площадки при дальнейшем развитии бизнеса.</w:t>
      </w:r>
    </w:p>
    <w:p w14:paraId="C3020000"/>
    <w:p w14:paraId="C4020000"/>
    <w:tbl>
      <w:tblPr>
        <w:tblStyle w:val="Style_14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845"/>
        <w:gridCol w:w="1500"/>
      </w:tblGrid>
      <w:tr>
        <w:trPr>
          <w:trHeight w:hRule="atLeast" w:val="315"/>
        </w:trPr>
        <w:tc>
          <w:tcPr>
            <w:tcW w:type="dxa" w:w="184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5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state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6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orders_cnt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7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8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1 021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9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York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A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B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Texas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D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Pennsylvania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CF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Illinois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0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1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Washington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2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3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4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5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Florida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6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7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North Carolina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8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9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Michigan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A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B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Virginia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D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Arizona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DF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Georgia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0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1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Tennessee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2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3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Colorado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4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5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6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7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Massachusetts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8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9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Jersey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A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B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Kentucky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D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Oregon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EF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Wisconsin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0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1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Maryland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2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3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Connecticut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4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5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Minnesota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6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7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Delaware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8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9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Alabama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A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B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Oklahoma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C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D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Missouri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E02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FF02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Arkansas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0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Mississippi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2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Utah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4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Rhode Island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6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Nebraska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8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Nevada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A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Mexico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C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Louisiana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E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0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South Carolina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0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Hampshire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2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Iowa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4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Kansas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6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Idaho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8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Montana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A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Vermont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C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South Dakota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E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1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District of Columbia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0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Maine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2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West Virginia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4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North Dakota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6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15"/>
        </w:trPr>
        <w:tc>
          <w:tcPr>
            <w:tcW w:type="dxa" w:w="1845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Wyoming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28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29030000"/>
    <w:p w14:paraId="2A030000">
      <w:r>
        <w:br w:type="page"/>
      </w:r>
    </w:p>
    <w:p w14:paraId="2B030000">
      <w:r>
        <w:t xml:space="preserve">Следующий запрос позволяет оценить </w:t>
      </w:r>
      <w:r>
        <w:rPr>
          <w:b w:val="1"/>
        </w:rPr>
        <w:t>сумму выручки в каждом конкретном штате</w:t>
      </w:r>
      <w:r>
        <w:t>:</w:t>
      </w:r>
    </w:p>
    <w:p w14:paraId="2C030000"/>
    <w:p w14:paraId="2D030000">
      <w:r>
        <w:t xml:space="preserve">SELECT </w:t>
      </w:r>
    </w:p>
    <w:p w14:paraId="2E030000">
      <w:r>
        <w:t xml:space="preserve">    sd.state,</w:t>
      </w:r>
    </w:p>
    <w:p w14:paraId="2F030000">
      <w:r>
        <w:t xml:space="preserve">    ROUND(SUM((price - price*discount)*quantity)) revenue -- выручка в конкретном штате</w:t>
      </w:r>
    </w:p>
    <w:p w14:paraId="30030000">
      <w:r>
        <w:t xml:space="preserve">FROM </w:t>
      </w:r>
    </w:p>
    <w:p w14:paraId="31030000">
      <w:r>
        <w:t xml:space="preserve">    sql.store_customers sc </w:t>
      </w:r>
    </w:p>
    <w:p w14:paraId="32030000">
      <w:r>
        <w:t xml:space="preserve">    JOIN sql.store_delivery sd ON sc.cust_id = sd.cust_id</w:t>
      </w:r>
    </w:p>
    <w:p w14:paraId="33030000">
      <w:r>
        <w:t xml:space="preserve">    JOIN sql.store_carts o ON sd.order_id = o.order_id</w:t>
      </w:r>
    </w:p>
    <w:p w14:paraId="34030000">
      <w:r>
        <w:t xml:space="preserve">    JOIN sql.store_products sp ON o.product_id = sp.product_id</w:t>
      </w:r>
    </w:p>
    <w:p w14:paraId="35030000">
      <w:r>
        <w:t>GROUP BY sd.state</w:t>
      </w:r>
    </w:p>
    <w:p w14:paraId="36030000">
      <w:r>
        <w:t>ORDER BY revenue DESC</w:t>
      </w:r>
    </w:p>
    <w:p w14:paraId="37030000"/>
    <w:p w14:paraId="38030000">
      <w:r>
        <w:t xml:space="preserve">Мы видим, что и по выручке штат Калифорния занимает бесспорное первое место и также приносит </w:t>
      </w:r>
      <w:r>
        <w:rPr>
          <w:b w:val="1"/>
          <w:sz w:val="28"/>
        </w:rPr>
        <w:t>⅕</w:t>
      </w:r>
      <w:r>
        <w:rPr>
          <w:sz w:val="28"/>
        </w:rPr>
        <w:t xml:space="preserve"> всего дохода </w:t>
      </w:r>
      <w:r>
        <w:t>компании.</w:t>
      </w:r>
    </w:p>
    <w:p w14:paraId="39030000"/>
    <w:p w14:paraId="3A030000">
      <w:r>
        <w:drawing>
          <wp:inline>
            <wp:extent cx="5731200" cy="35433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7312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30000"/>
    <w:p w14:paraId="3C030000"/>
    <w:tbl>
      <w:tblPr>
        <w:tblStyle w:val="Style_15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1500"/>
        <w:gridCol w:w="1500"/>
      </w:tblGrid>
      <w:tr>
        <w:trPr>
          <w:trHeight w:hRule="atLeast" w:val="315"/>
        </w:trPr>
        <w:tc>
          <w:tcPr>
            <w:tcW w:type="dxa" w:w="15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D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state</w:t>
            </w:r>
          </w:p>
        </w:tc>
        <w:tc>
          <w:tcPr>
            <w:tcW w:type="dxa" w:w="1500"/>
            <w:tcBorders>
              <w:top w:color="000000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E030000">
            <w:pPr>
              <w:widowControl w:val="0"/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revenue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3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California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$292 430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York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$201 703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Texas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D9EAD3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$105 377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Washington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$82 827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Pennsylvania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$71 776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Florida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$54 399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Illinois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$51 343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$45 438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4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Virginia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$45 054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Michigan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shd w:fill="FFF2CC" w:val="clear"/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$41 133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$34 085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North Carolina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$32 833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Georgia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$29 004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Jersey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$27 470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Kentucky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$23 124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Arizona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$22 904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5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Wisconsin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$22 726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Colorado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$18 853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Massachusetts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$18 514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Tennessee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$17 770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Delaware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$17 490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Missouri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$16 413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Alabama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$15 403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Minnesota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$15 386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6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Maryland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$14 809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Rhode Island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$14 802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Oklahoma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$12 711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Oregon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$11 625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Nevada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$9 222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Connecticut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$9 022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Utah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$7 725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Arkansas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$7 626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7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Mississippi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$7 213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South Carolina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$6 246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Louisiana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$6 101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Vermont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$5 239</w:t>
            </w:r>
          </w:p>
        </w:tc>
      </w:tr>
      <w:tr>
        <w:trPr>
          <w:trHeight w:hRule="atLeast" w:val="55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Hampshire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$5 119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Montana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$4 087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New Mexico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$3 589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Nebraska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$3 308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8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Iowa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$3 019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1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Idaho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2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$2 731</w:t>
            </w:r>
          </w:p>
        </w:tc>
      </w:tr>
      <w:tr>
        <w:trPr>
          <w:trHeight w:hRule="atLeast" w:val="55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3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District of Columbia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4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$2 425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5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Kansas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6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$1 924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7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Wyoming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8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$1 122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9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Maine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A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$951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B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South Dakota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C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$930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CCCCCC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D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North Dakota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CCCCCC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E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$721</w:t>
            </w:r>
          </w:p>
        </w:tc>
      </w:tr>
      <w:tr>
        <w:trPr>
          <w:trHeight w:hRule="atLeast" w:val="315"/>
        </w:trPr>
        <w:tc>
          <w:tcPr>
            <w:tcW w:type="dxa" w:w="1500"/>
            <w:tcBorders>
              <w:top w:color="CCCCCC" w:sz="6" w:val="single"/>
              <w:left w:color="000000" w:sz="6" w:val="single"/>
              <w:bottom w:color="000000" w:sz="6" w:val="single"/>
              <w:right w:color="CCCCCC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9F030000">
            <w:pPr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West Virginia</w:t>
            </w:r>
          </w:p>
        </w:tc>
        <w:tc>
          <w:tcPr>
            <w:tcW w:type="dxa" w:w="1500"/>
            <w:tcBorders>
              <w:top w:color="CCCCCC" w:sz="6" w:val="single"/>
              <w:left w:color="CCCCCC" w:sz="6" w:val="single"/>
              <w:bottom w:color="000000" w:sz="6" w:val="single"/>
              <w:right w:color="000000" w:sz="6" w:val="single"/>
            </w:tcBorders>
            <w:tcMar>
              <w:top w:type="dxa" w:w="40"/>
              <w:left w:type="dxa" w:w="40"/>
              <w:bottom w:type="dxa" w:w="40"/>
              <w:right w:type="dxa" w:w="40"/>
            </w:tcMar>
            <w:vAlign w:val="bottom"/>
          </w:tcPr>
          <w:p w14:paraId="A0030000">
            <w:pPr>
              <w:widowControl w:val="0"/>
              <w:ind/>
              <w:jc w:val="right"/>
              <w:rPr>
                <w:sz w:val="20"/>
              </w:rPr>
            </w:pPr>
            <w:r>
              <w:rPr>
                <w:sz w:val="20"/>
              </w:rPr>
              <w:t>$433</w:t>
            </w:r>
          </w:p>
        </w:tc>
      </w:tr>
    </w:tbl>
    <w:p w14:paraId="A1030000"/>
    <w:p w14:paraId="A2030000">
      <w:pPr>
        <w:sectPr>
          <w:type w:val="nextPage"/>
          <w:pgSz w:h="16834" w:orient="portrait" w:w="11909"/>
          <w:pgMar w:bottom="1440" w:footer="720" w:header="720" w:left="1440" w:right="1440" w:top="1440"/>
        </w:sectPr>
      </w:pPr>
    </w:p>
    <w:p w14:paraId="A3030000">
      <w:bookmarkStart w:id="32" w:name="__RefHeading___14"/>
      <w:bookmarkEnd w:id="32"/>
      <w:pPr>
        <w:pStyle w:val="Style_3"/>
      </w:pPr>
      <w:bookmarkStart w:id="33" w:name="_dqtnc4d2gv5d"/>
      <w:bookmarkEnd w:id="33"/>
      <w:r>
        <w:t>4. Общие выводы</w:t>
      </w:r>
    </w:p>
    <w:p w14:paraId="A4030000">
      <w:pPr>
        <w:numPr>
          <w:ilvl w:val="0"/>
          <w:numId w:val="4"/>
        </w:numPr>
        <w:ind w:hanging="360" w:left="720"/>
        <w:rPr>
          <w:u w:val="none"/>
        </w:rPr>
      </w:pPr>
      <w:r>
        <w:t xml:space="preserve">С точки зрения </w:t>
      </w:r>
      <w:r>
        <w:rPr>
          <w:b w:val="1"/>
        </w:rPr>
        <w:t xml:space="preserve">доходов </w:t>
      </w:r>
      <w:r>
        <w:t xml:space="preserve">дела компании в целом идут достаточно хорошо, в течение четырёх лет наблюдается их </w:t>
      </w:r>
      <w:r>
        <w:rPr>
          <w:b w:val="1"/>
        </w:rPr>
        <w:t>повышение</w:t>
      </w:r>
      <w:r>
        <w:t xml:space="preserve">. Доходы компании имеют тенденцию увеличиваться в конце года (осень - начало зимы). </w:t>
      </w:r>
      <w:r>
        <w:rPr>
          <w:b w:val="1"/>
        </w:rPr>
        <w:t xml:space="preserve">Пик </w:t>
      </w:r>
      <w:r>
        <w:t xml:space="preserve">обычно приходится на </w:t>
      </w:r>
      <w:r>
        <w:rPr>
          <w:b w:val="1"/>
        </w:rPr>
        <w:t>ноябрь</w:t>
      </w:r>
      <w:r>
        <w:t>, и если в 2017-м году доход в ноябре составил около 49 тыс. долларов, то в ноябре 2020-го - около 75 тыс. долларов.</w:t>
      </w:r>
    </w:p>
    <w:p w14:paraId="A5030000">
      <w:pPr>
        <w:ind w:firstLine="0" w:left="720"/>
      </w:pPr>
    </w:p>
    <w:p w14:paraId="A6030000">
      <w:pPr>
        <w:numPr>
          <w:ilvl w:val="0"/>
          <w:numId w:val="4"/>
        </w:numPr>
        <w:ind w:hanging="360" w:left="720"/>
        <w:rPr>
          <w:u w:val="none"/>
        </w:rPr>
      </w:pPr>
      <w:r>
        <w:rPr>
          <w:b w:val="1"/>
        </w:rPr>
        <w:t xml:space="preserve">Лидеры </w:t>
      </w:r>
      <w:r>
        <w:t xml:space="preserve">продаж - </w:t>
      </w:r>
      <w:r>
        <w:rPr>
          <w:b w:val="1"/>
        </w:rPr>
        <w:t>кресла/стулья, телефоны и офисные принадлежности</w:t>
      </w:r>
      <w:r>
        <w:t>. Возможно, следует выделить средства на рекламу столов, которые занимают пятое место в рейтинге подкатегорий товаров и могли бы идти как удачное дополнение к покупке стульев, которые являются лидерами продаж. В топ-25 товаров представлены товары категорий Technology, Furniture и Office Supplies.</w:t>
      </w:r>
    </w:p>
    <w:p w14:paraId="A7030000">
      <w:pPr>
        <w:ind w:firstLine="0" w:left="720"/>
      </w:pPr>
    </w:p>
    <w:p w14:paraId="A8030000">
      <w:pPr>
        <w:numPr>
          <w:ilvl w:val="0"/>
          <w:numId w:val="4"/>
        </w:numPr>
        <w:ind w:hanging="360" w:left="720"/>
        <w:rPr>
          <w:u w:val="none"/>
        </w:rPr>
      </w:pPr>
      <w:r>
        <w:t xml:space="preserve">Более </w:t>
      </w:r>
      <w:r>
        <w:rPr>
          <w:b w:val="1"/>
        </w:rPr>
        <w:t>80%</w:t>
      </w:r>
      <w:r>
        <w:t xml:space="preserve"> как приносимого </w:t>
      </w:r>
      <w:r>
        <w:rPr>
          <w:b w:val="1"/>
        </w:rPr>
        <w:t>дохода</w:t>
      </w:r>
      <w:r>
        <w:t xml:space="preserve">, так и </w:t>
      </w:r>
      <w:r>
        <w:rPr>
          <w:b w:val="1"/>
        </w:rPr>
        <w:t xml:space="preserve">клиентов </w:t>
      </w:r>
      <w:r>
        <w:t xml:space="preserve">приходится на </w:t>
      </w:r>
      <w:r>
        <w:rPr>
          <w:b w:val="1"/>
        </w:rPr>
        <w:t>сегмент B2B</w:t>
      </w:r>
      <w:r>
        <w:t xml:space="preserve">. Именно инвестиции в эту сферу принесут львиную долю выручки. Один заказ корпоративного клиента - это в среднем 2 товара и около 300 $. Удержание корпоративных клиентов находится на хорошем уровне - это видно по динамике дохода компании, однако </w:t>
      </w:r>
      <w:r>
        <w:rPr>
          <w:b w:val="1"/>
        </w:rPr>
        <w:t>с конца 2017-го года привлечение новых B2B клиентов</w:t>
      </w:r>
      <w:r>
        <w:t xml:space="preserve"> находится на </w:t>
      </w:r>
      <w:r>
        <w:rPr>
          <w:b w:val="1"/>
        </w:rPr>
        <w:t>низком уровне</w:t>
      </w:r>
      <w:r>
        <w:t xml:space="preserve"> и продолжает падать - следует выявить причины падения количества новых клиентов и подготовить рекламные кампании, которые могли бы привлечь их.</w:t>
      </w:r>
    </w:p>
    <w:p w14:paraId="A9030000">
      <w:pPr>
        <w:ind w:firstLine="0" w:left="720"/>
      </w:pPr>
    </w:p>
    <w:p w14:paraId="AA030000">
      <w:pPr>
        <w:numPr>
          <w:ilvl w:val="0"/>
          <w:numId w:val="4"/>
        </w:numPr>
        <w:ind w:hanging="360" w:left="720"/>
        <w:rPr>
          <w:u w:val="none"/>
        </w:rPr>
      </w:pPr>
      <w:r>
        <w:rPr>
          <w:b w:val="1"/>
        </w:rPr>
        <w:t xml:space="preserve">Доставка </w:t>
      </w:r>
      <w:r>
        <w:t xml:space="preserve">в большинстве случаев осуществляется </w:t>
      </w:r>
      <w:r>
        <w:rPr>
          <w:b w:val="1"/>
        </w:rPr>
        <w:t xml:space="preserve">вовремя </w:t>
      </w:r>
      <w:r>
        <w:t xml:space="preserve">(это 90% и выше), однако исключением является тип доставки </w:t>
      </w:r>
      <w:r>
        <w:rPr>
          <w:b w:val="1"/>
        </w:rPr>
        <w:t>Second Class</w:t>
      </w:r>
      <w:r>
        <w:t xml:space="preserve">, у которого пятая часть всех доставок были выполнены с </w:t>
      </w:r>
      <w:r>
        <w:rPr>
          <w:b w:val="1"/>
        </w:rPr>
        <w:t xml:space="preserve">опозданием </w:t>
      </w:r>
      <w:r>
        <w:t>- следует выявить возможные существующие проблемы в этой области.</w:t>
      </w:r>
    </w:p>
    <w:p w14:paraId="AB030000">
      <w:pPr>
        <w:ind w:firstLine="0" w:left="720"/>
      </w:pPr>
    </w:p>
    <w:p w14:paraId="AC030000">
      <w:pPr>
        <w:numPr>
          <w:ilvl w:val="0"/>
          <w:numId w:val="4"/>
        </w:numPr>
        <w:ind w:hanging="360" w:left="720"/>
        <w:rPr>
          <w:u w:val="none"/>
        </w:rPr>
      </w:pPr>
      <w:r>
        <w:t>Однозначным лидером среди штатов и по количеству доставок, и по общей выручке является</w:t>
      </w:r>
      <w:r>
        <w:rPr>
          <w:b w:val="1"/>
          <w:sz w:val="28"/>
        </w:rPr>
        <w:t xml:space="preserve"> </w:t>
      </w:r>
      <w:r>
        <w:rPr>
          <w:b w:val="1"/>
          <w:sz w:val="24"/>
        </w:rPr>
        <w:t>Калифорния</w:t>
      </w:r>
      <w:r>
        <w:rPr>
          <w:b w:val="1"/>
        </w:rPr>
        <w:t xml:space="preserve"> </w:t>
      </w:r>
      <w:r>
        <w:t xml:space="preserve">- на этот штат приходится </w:t>
      </w:r>
      <w:r>
        <w:rPr>
          <w:b w:val="1"/>
          <w:sz w:val="28"/>
        </w:rPr>
        <w:t xml:space="preserve">⅕ </w:t>
      </w:r>
      <w:r>
        <w:rPr>
          <w:b w:val="1"/>
          <w:sz w:val="24"/>
        </w:rPr>
        <w:t>всех заказов и доходов.</w:t>
      </w:r>
      <w:r>
        <w:rPr>
          <w:sz w:val="18"/>
        </w:rPr>
        <w:t xml:space="preserve"> </w:t>
      </w:r>
      <w:r>
        <w:t xml:space="preserve">Поэтому рекомендуется открыть офлайн-магазин именно в этом штате. </w:t>
      </w:r>
    </w:p>
    <w:p w14:paraId="AD030000">
      <w:pPr>
        <w:ind w:firstLine="0" w:left="720"/>
      </w:pPr>
    </w:p>
    <w:p w14:paraId="AE030000">
      <w:pPr>
        <w:numPr>
          <w:ilvl w:val="0"/>
          <w:numId w:val="4"/>
        </w:numPr>
        <w:ind w:hanging="360" w:left="720"/>
        <w:rPr>
          <w:u w:val="none"/>
        </w:rPr>
      </w:pPr>
      <w:r>
        <w:t>Следует также заметить, что 14% прибыли приходится на Нью-Йорк, поэтому в дальнейшем рекомендовано открыть офлайн-магазин также и в этом штате.</w:t>
      </w:r>
    </w:p>
    <w:sectPr>
      <w:type w:val="nextPage"/>
      <w:pgSz w:h="16834" w:orient="portrait" w:w="11909"/>
      <w:pgMar w:bottom="1440" w:footer="72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rFonts w:ascii="Arial" w:hAnsi="Arial"/>
        <w:color w:val="313131"/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rFonts w:ascii="Arial" w:hAnsi="Arial"/>
        <w:color w:val="313131"/>
        <w:sz w:val="24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rFonts w:ascii="Arial" w:hAnsi="Arial"/>
        <w:color w:val="313131"/>
        <w:sz w:val="24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6" w:type="paragraph">
    <w:name w:val="Normal"/>
    <w:link w:val="Style_16_ch"/>
    <w:uiPriority w:val="0"/>
    <w:qFormat/>
  </w:style>
  <w:style w:default="1" w:styleId="Style_16_ch" w:type="character">
    <w:name w:val="Normal"/>
    <w:link w:val="Style_16"/>
  </w:style>
  <w:style w:styleId="Style_2" w:type="paragraph">
    <w:name w:val="toc 2"/>
    <w:next w:val="Style_16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17" w:type="paragraph">
    <w:name w:val="toc 4"/>
    <w:next w:val="Style_16"/>
    <w:link w:val="Style_1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7_ch" w:type="character">
    <w:name w:val="toc 4"/>
    <w:link w:val="Style_17"/>
    <w:rPr>
      <w:rFonts w:ascii="XO Thames" w:hAnsi="XO Thames"/>
      <w:sz w:val="28"/>
    </w:rPr>
  </w:style>
  <w:style w:styleId="Style_18" w:type="paragraph">
    <w:name w:val="toc 6"/>
    <w:next w:val="Style_16"/>
    <w:link w:val="Style_1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8_ch" w:type="character">
    <w:name w:val="toc 6"/>
    <w:link w:val="Style_18"/>
    <w:rPr>
      <w:rFonts w:ascii="XO Thames" w:hAnsi="XO Thames"/>
      <w:sz w:val="28"/>
    </w:rPr>
  </w:style>
  <w:style w:styleId="Style_19" w:type="paragraph">
    <w:name w:val="toc 7"/>
    <w:next w:val="Style_16"/>
    <w:link w:val="Style_1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9_ch" w:type="character">
    <w:name w:val="toc 7"/>
    <w:link w:val="Style_19"/>
    <w:rPr>
      <w:rFonts w:ascii="XO Thames" w:hAnsi="XO Thames"/>
      <w:sz w:val="28"/>
    </w:rPr>
  </w:style>
  <w:style w:styleId="Style_20" w:type="paragraph">
    <w:name w:val="heading 3"/>
    <w:basedOn w:val="Style_16"/>
    <w:next w:val="Style_16"/>
    <w:link w:val="Style_20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20_ch" w:type="character">
    <w:name w:val="heading 3"/>
    <w:basedOn w:val="Style_16_ch"/>
    <w:link w:val="Style_20"/>
    <w:rPr>
      <w:b w:val="0"/>
      <w:color w:val="434343"/>
      <w:sz w:val="28"/>
    </w:rPr>
  </w:style>
  <w:style w:styleId="Style_21" w:type="paragraph">
    <w:name w:val="toc 3"/>
    <w:next w:val="Style_16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heading 5"/>
    <w:basedOn w:val="Style_16"/>
    <w:next w:val="Style_16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22_ch" w:type="character">
    <w:name w:val="heading 5"/>
    <w:basedOn w:val="Style_16_ch"/>
    <w:link w:val="Style_22"/>
    <w:rPr>
      <w:color w:val="666666"/>
      <w:sz w:val="22"/>
    </w:rPr>
  </w:style>
  <w:style w:styleId="Style_3" w:type="paragraph">
    <w:name w:val="heading 1"/>
    <w:basedOn w:val="Style_16"/>
    <w:next w:val="Style_16"/>
    <w:link w:val="Style_3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3_ch" w:type="character">
    <w:name w:val="heading 1"/>
    <w:basedOn w:val="Style_16_ch"/>
    <w:link w:val="Style_3"/>
    <w:rPr>
      <w:sz w:val="40"/>
    </w:rPr>
  </w:style>
  <w:style w:styleId="Style_23" w:type="paragraph">
    <w:name w:val="Hyperlink"/>
    <w:link w:val="Style_23_ch"/>
    <w:rPr>
      <w:color w:val="0000FF"/>
      <w:u w:val="single"/>
    </w:rPr>
  </w:style>
  <w:style w:styleId="Style_23_ch" w:type="character">
    <w:name w:val="Hyperlink"/>
    <w:link w:val="Style_23"/>
    <w:rPr>
      <w:color w:val="0000FF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1" w:type="paragraph">
    <w:name w:val="toc 1"/>
    <w:next w:val="Style_16"/>
    <w:link w:val="Style_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_ch" w:type="character">
    <w:name w:val="toc 1"/>
    <w:link w:val="Style_1"/>
    <w:rPr>
      <w:rFonts w:ascii="XO Thames" w:hAnsi="XO Thames"/>
      <w:b w:val="1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toc 9"/>
    <w:next w:val="Style_16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toc 8"/>
    <w:next w:val="Style_16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toc 5"/>
    <w:next w:val="Style_16"/>
    <w:link w:val="Style_2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8" w:type="paragraph">
    <w:name w:val="Subtitle"/>
    <w:basedOn w:val="Style_16"/>
    <w:next w:val="Style_16"/>
    <w:link w:val="Style_8_ch"/>
    <w:uiPriority w:val="11"/>
    <w:qFormat/>
    <w:pPr>
      <w:keepNext w:val="1"/>
      <w:keepLines w:val="1"/>
      <w:spacing w:after="620" w:before="460" w:line="336" w:lineRule="auto"/>
      <w:ind/>
    </w:pPr>
    <w:rPr>
      <w:b w:val="1"/>
      <w:color w:val="313131"/>
      <w:sz w:val="24"/>
    </w:rPr>
  </w:style>
  <w:style w:styleId="Style_8_ch" w:type="character">
    <w:name w:val="Subtitle"/>
    <w:basedOn w:val="Style_16_ch"/>
    <w:link w:val="Style_8"/>
    <w:rPr>
      <w:b w:val="1"/>
      <w:color w:val="313131"/>
      <w:sz w:val="24"/>
    </w:rPr>
  </w:style>
  <w:style w:styleId="Style_4" w:type="paragraph">
    <w:name w:val="Title"/>
    <w:basedOn w:val="Style_16"/>
    <w:next w:val="Style_16"/>
    <w:link w:val="Style_4_ch"/>
    <w:uiPriority w:val="10"/>
    <w:qFormat/>
    <w:pPr>
      <w:keepNext w:val="1"/>
      <w:keepLines w:val="1"/>
      <w:spacing w:after="620" w:before="460" w:line="336" w:lineRule="auto"/>
      <w:ind w:hanging="360" w:left="720"/>
    </w:pPr>
    <w:rPr>
      <w:sz w:val="26"/>
    </w:rPr>
  </w:style>
  <w:style w:styleId="Style_4_ch" w:type="character">
    <w:name w:val="Title"/>
    <w:basedOn w:val="Style_16_ch"/>
    <w:link w:val="Style_4"/>
    <w:rPr>
      <w:sz w:val="26"/>
    </w:rPr>
  </w:style>
  <w:style w:styleId="Style_29" w:type="paragraph">
    <w:name w:val="heading 4"/>
    <w:basedOn w:val="Style_16"/>
    <w:next w:val="Style_16"/>
    <w:link w:val="Style_2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9_ch" w:type="character">
    <w:name w:val="heading 4"/>
    <w:basedOn w:val="Style_16_ch"/>
    <w:link w:val="Style_29"/>
    <w:rPr>
      <w:color w:val="666666"/>
      <w:sz w:val="24"/>
    </w:rPr>
  </w:style>
  <w:style w:styleId="Style_5" w:type="paragraph">
    <w:name w:val="heading 2"/>
    <w:basedOn w:val="Style_16"/>
    <w:next w:val="Style_16"/>
    <w:link w:val="Style_5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5_ch" w:type="character">
    <w:name w:val="heading 2"/>
    <w:basedOn w:val="Style_16_ch"/>
    <w:link w:val="Style_5"/>
    <w:rPr>
      <w:b w:val="0"/>
      <w:sz w:val="32"/>
    </w:rPr>
  </w:style>
  <w:style w:styleId="Style_30" w:type="paragraph">
    <w:name w:val="heading 6"/>
    <w:basedOn w:val="Style_16"/>
    <w:next w:val="Style_16"/>
    <w:link w:val="Style_30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30_ch" w:type="character">
    <w:name w:val="heading 6"/>
    <w:basedOn w:val="Style_16_ch"/>
    <w:link w:val="Style_30"/>
    <w:rPr>
      <w:i w:val="1"/>
      <w:color w:val="666666"/>
      <w:sz w:val="22"/>
    </w:rPr>
  </w:style>
  <w:style w:styleId="Style_9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7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2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4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0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3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31" w:type="table">
    <w:name w:val="Table Normal"/>
  </w:style>
  <w:style w:styleId="Style_11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6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5" w:type="table">
    <w:basedOn w:val="Style_31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2023-08-14T16:55:48Z</dcterms:modified>
</cp:coreProperties>
</file>