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4DE" w:rsidRDefault="009114DE" w:rsidP="00E3495C">
      <w:pPr>
        <w:spacing w:after="0" w:line="240" w:lineRule="auto"/>
        <w:jc w:val="center"/>
      </w:pPr>
      <w:bookmarkStart w:id="0" w:name="_GoBack"/>
      <w:bookmarkEnd w:id="0"/>
      <w:r>
        <w:t xml:space="preserve">Exploratory Note </w:t>
      </w:r>
      <w:r w:rsidR="008C7A71">
        <w:t>15</w:t>
      </w:r>
    </w:p>
    <w:p w:rsidR="00D243CA" w:rsidRDefault="008C7A71" w:rsidP="00E3495C">
      <w:pPr>
        <w:spacing w:after="0" w:line="240" w:lineRule="auto"/>
        <w:jc w:val="center"/>
      </w:pPr>
      <w:r>
        <w:t>VC Returns</w:t>
      </w:r>
    </w:p>
    <w:p w:rsidR="008C7A71" w:rsidRDefault="008C7A71" w:rsidP="00E3495C">
      <w:pPr>
        <w:spacing w:after="0" w:line="240" w:lineRule="auto"/>
        <w:jc w:val="both"/>
      </w:pPr>
    </w:p>
    <w:p w:rsidR="00C7648B" w:rsidRDefault="009114DE" w:rsidP="00E3495C">
      <w:pPr>
        <w:tabs>
          <w:tab w:val="left" w:pos="2175"/>
        </w:tabs>
        <w:spacing w:after="0" w:line="240" w:lineRule="auto"/>
        <w:jc w:val="both"/>
      </w:pPr>
      <w:r>
        <w:rPr>
          <w:b/>
        </w:rPr>
        <w:t>INTRODUCTION</w:t>
      </w:r>
    </w:p>
    <w:p w:rsidR="00C7648B" w:rsidRDefault="00C7648B" w:rsidP="00E3495C">
      <w:pPr>
        <w:tabs>
          <w:tab w:val="left" w:pos="2175"/>
        </w:tabs>
        <w:spacing w:after="0" w:line="240" w:lineRule="auto"/>
        <w:jc w:val="both"/>
      </w:pPr>
    </w:p>
    <w:p w:rsidR="00694069" w:rsidRDefault="00006E20" w:rsidP="00E3495C">
      <w:pPr>
        <w:tabs>
          <w:tab w:val="left" w:pos="2175"/>
        </w:tabs>
        <w:spacing w:after="0" w:line="240" w:lineRule="auto"/>
        <w:jc w:val="both"/>
      </w:pPr>
      <w:r>
        <w:t xml:space="preserve">Do venture capital firms make money for their investors?  </w:t>
      </w:r>
      <w:r w:rsidR="0090784C">
        <w:t>Though, in the short run, entrepreneurs may not care, in the long run, it is an important question to consider.  If the answer is, in fact, a definitive no, then venture capital could prove to be little more than a temporary phenomenon.</w:t>
      </w:r>
    </w:p>
    <w:p w:rsidR="0090784C" w:rsidRDefault="0090784C" w:rsidP="00E3495C">
      <w:pPr>
        <w:tabs>
          <w:tab w:val="left" w:pos="2175"/>
        </w:tabs>
        <w:spacing w:after="0" w:line="240" w:lineRule="auto"/>
        <w:jc w:val="both"/>
      </w:pPr>
    </w:p>
    <w:p w:rsidR="00BC0531" w:rsidRDefault="000E1421" w:rsidP="00E3495C">
      <w:pPr>
        <w:tabs>
          <w:tab w:val="left" w:pos="2175"/>
        </w:tabs>
        <w:spacing w:after="0" w:line="240" w:lineRule="auto"/>
        <w:jc w:val="both"/>
        <w:rPr>
          <w:b/>
          <w:i/>
        </w:rPr>
      </w:pPr>
      <w:r>
        <w:rPr>
          <w:b/>
          <w:i/>
        </w:rPr>
        <w:t>INDIVIDUAL INVESTMENT MULTIPLES</w:t>
      </w:r>
    </w:p>
    <w:p w:rsidR="00BC0531" w:rsidRDefault="00BC0531" w:rsidP="00E3495C">
      <w:pPr>
        <w:tabs>
          <w:tab w:val="left" w:pos="2175"/>
        </w:tabs>
        <w:spacing w:after="0" w:line="240" w:lineRule="auto"/>
        <w:jc w:val="both"/>
        <w:rPr>
          <w:b/>
          <w:i/>
        </w:rPr>
      </w:pPr>
    </w:p>
    <w:p w:rsidR="0090784C" w:rsidRDefault="00BC0531" w:rsidP="00E3495C">
      <w:pPr>
        <w:tabs>
          <w:tab w:val="left" w:pos="2175"/>
        </w:tabs>
        <w:spacing w:after="0" w:line="240" w:lineRule="auto"/>
        <w:jc w:val="both"/>
      </w:pPr>
      <w:r>
        <w:t xml:space="preserve">Gross value multiples (GVMs) are the exit multiple of the initial investment.  </w:t>
      </w:r>
      <w:r w:rsidR="00484C3D">
        <w:t>Since VC firms are on a fixed time table, an IPO or acquisition (of some kind) is going to be required.  Consider below:</w:t>
      </w:r>
    </w:p>
    <w:p w:rsidR="00BC0531" w:rsidRDefault="00BC0531" w:rsidP="00E3495C">
      <w:pPr>
        <w:tabs>
          <w:tab w:val="left" w:pos="2175"/>
        </w:tabs>
        <w:spacing w:after="0" w:line="240" w:lineRule="auto"/>
        <w:jc w:val="both"/>
      </w:pPr>
    </w:p>
    <w:p w:rsidR="00484C3D" w:rsidRPr="000E1421" w:rsidRDefault="00484C3D" w:rsidP="00E3495C">
      <w:pPr>
        <w:tabs>
          <w:tab w:val="left" w:pos="2175"/>
        </w:tabs>
        <w:spacing w:after="0" w:line="240" w:lineRule="auto"/>
        <w:jc w:val="both"/>
        <w:rPr>
          <w:b/>
          <w:i/>
        </w:rPr>
      </w:pPr>
      <w:r w:rsidRPr="000E1421">
        <w:rPr>
          <w:b/>
          <w:i/>
        </w:rPr>
        <w:t>First Round GVMs</w:t>
      </w:r>
    </w:p>
    <w:p w:rsidR="00484C3D" w:rsidRPr="0090784C" w:rsidRDefault="00484C3D" w:rsidP="00E3495C">
      <w:pPr>
        <w:tabs>
          <w:tab w:val="left" w:pos="2175"/>
        </w:tabs>
        <w:spacing w:after="0" w:line="240" w:lineRule="auto"/>
        <w:jc w:val="both"/>
      </w:pPr>
    </w:p>
    <w:p w:rsidR="0090784C" w:rsidRDefault="0090784C" w:rsidP="00E3495C">
      <w:pPr>
        <w:tabs>
          <w:tab w:val="left" w:pos="2175"/>
        </w:tabs>
        <w:spacing w:after="0" w:line="240" w:lineRule="auto"/>
        <w:jc w:val="center"/>
      </w:pPr>
      <w:r>
        <w:rPr>
          <w:noProof/>
        </w:rPr>
        <w:drawing>
          <wp:inline distT="0" distB="0" distL="0" distR="0" wp14:anchorId="1E7EF877" wp14:editId="080EA954">
            <wp:extent cx="3520407" cy="3706753"/>
            <wp:effectExtent l="1905"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3531544" cy="3718480"/>
                    </a:xfrm>
                    <a:prstGeom prst="rect">
                      <a:avLst/>
                    </a:prstGeom>
                    <a:noFill/>
                    <a:ln>
                      <a:noFill/>
                    </a:ln>
                  </pic:spPr>
                </pic:pic>
              </a:graphicData>
            </a:graphic>
          </wp:inline>
        </w:drawing>
      </w:r>
    </w:p>
    <w:p w:rsidR="0090784C" w:rsidRDefault="0090784C" w:rsidP="00E3495C">
      <w:pPr>
        <w:tabs>
          <w:tab w:val="left" w:pos="2175"/>
        </w:tabs>
        <w:spacing w:after="0" w:line="240" w:lineRule="auto"/>
        <w:jc w:val="both"/>
      </w:pPr>
    </w:p>
    <w:p w:rsidR="00484C3D" w:rsidRDefault="00484C3D" w:rsidP="00E3495C">
      <w:pPr>
        <w:tabs>
          <w:tab w:val="left" w:pos="2175"/>
        </w:tabs>
        <w:spacing w:after="0" w:line="240" w:lineRule="auto"/>
        <w:jc w:val="both"/>
      </w:pPr>
    </w:p>
    <w:p w:rsidR="00484C3D" w:rsidRDefault="00484C3D" w:rsidP="00E3495C">
      <w:pPr>
        <w:tabs>
          <w:tab w:val="left" w:pos="2175"/>
        </w:tabs>
        <w:spacing w:after="0" w:line="240" w:lineRule="auto"/>
        <w:jc w:val="both"/>
      </w:pPr>
      <w:r>
        <w:t>How do you interpret a multiple of 1x or less?</w:t>
      </w:r>
    </w:p>
    <w:p w:rsidR="00484C3D" w:rsidRDefault="00484C3D" w:rsidP="00E3495C">
      <w:pPr>
        <w:tabs>
          <w:tab w:val="left" w:pos="2175"/>
        </w:tabs>
        <w:spacing w:after="0" w:line="240" w:lineRule="auto"/>
        <w:jc w:val="both"/>
      </w:pPr>
    </w:p>
    <w:p w:rsidR="00484C3D" w:rsidRDefault="00484C3D" w:rsidP="00E3495C">
      <w:pPr>
        <w:tabs>
          <w:tab w:val="left" w:pos="2175"/>
        </w:tabs>
        <w:spacing w:after="0" w:line="240" w:lineRule="auto"/>
        <w:jc w:val="both"/>
      </w:pPr>
    </w:p>
    <w:p w:rsidR="00484C3D" w:rsidRDefault="00484C3D" w:rsidP="00E3495C">
      <w:pPr>
        <w:tabs>
          <w:tab w:val="left" w:pos="2175"/>
        </w:tabs>
        <w:spacing w:after="0" w:line="240" w:lineRule="auto"/>
        <w:jc w:val="both"/>
      </w:pPr>
    </w:p>
    <w:p w:rsidR="00484C3D" w:rsidRDefault="00484C3D" w:rsidP="00E3495C">
      <w:pPr>
        <w:tabs>
          <w:tab w:val="left" w:pos="2175"/>
        </w:tabs>
        <w:spacing w:after="0" w:line="240" w:lineRule="auto"/>
        <w:jc w:val="both"/>
      </w:pPr>
    </w:p>
    <w:p w:rsidR="00484C3D" w:rsidRDefault="00484C3D" w:rsidP="00E3495C">
      <w:pPr>
        <w:tabs>
          <w:tab w:val="left" w:pos="2175"/>
        </w:tabs>
        <w:spacing w:after="0" w:line="240" w:lineRule="auto"/>
        <w:jc w:val="both"/>
      </w:pPr>
    </w:p>
    <w:p w:rsidR="00484C3D" w:rsidRDefault="00484C3D" w:rsidP="00E3495C">
      <w:pPr>
        <w:tabs>
          <w:tab w:val="left" w:pos="2175"/>
        </w:tabs>
        <w:spacing w:after="0" w:line="240" w:lineRule="auto"/>
        <w:jc w:val="both"/>
      </w:pPr>
      <w:r>
        <w:t>How do IPOs and acquisitions differ vis-à-vis first round investment multiples?</w:t>
      </w:r>
    </w:p>
    <w:p w:rsidR="000E1421" w:rsidRDefault="000E1421" w:rsidP="00E3495C">
      <w:pPr>
        <w:tabs>
          <w:tab w:val="left" w:pos="2175"/>
        </w:tabs>
        <w:spacing w:after="0" w:line="240" w:lineRule="auto"/>
        <w:jc w:val="both"/>
      </w:pPr>
    </w:p>
    <w:p w:rsidR="00484C3D" w:rsidRDefault="00484C3D" w:rsidP="00E3495C">
      <w:pPr>
        <w:tabs>
          <w:tab w:val="left" w:pos="2175"/>
        </w:tabs>
        <w:spacing w:after="0" w:line="240" w:lineRule="auto"/>
        <w:jc w:val="both"/>
      </w:pPr>
      <w:r>
        <w:lastRenderedPageBreak/>
        <w:t>In results that I do not show, the entirety of first round investments yield nearly 75% failing to return the initial capital invested and fewer than 8% returning more than 10x.</w:t>
      </w:r>
    </w:p>
    <w:p w:rsidR="00484C3D" w:rsidRDefault="00484C3D" w:rsidP="00E3495C">
      <w:pPr>
        <w:tabs>
          <w:tab w:val="left" w:pos="2175"/>
        </w:tabs>
        <w:spacing w:after="0" w:line="240" w:lineRule="auto"/>
        <w:jc w:val="both"/>
      </w:pPr>
    </w:p>
    <w:p w:rsidR="00484C3D" w:rsidRPr="000E1421" w:rsidRDefault="00484C3D" w:rsidP="00E3495C">
      <w:pPr>
        <w:tabs>
          <w:tab w:val="left" w:pos="2175"/>
        </w:tabs>
        <w:spacing w:after="0" w:line="240" w:lineRule="auto"/>
        <w:jc w:val="both"/>
        <w:rPr>
          <w:b/>
          <w:i/>
        </w:rPr>
      </w:pPr>
      <w:r w:rsidRPr="000E1421">
        <w:rPr>
          <w:b/>
          <w:i/>
        </w:rPr>
        <w:t>Second Round GVMs</w:t>
      </w:r>
    </w:p>
    <w:p w:rsidR="00484C3D" w:rsidRDefault="00484C3D" w:rsidP="00E3495C">
      <w:pPr>
        <w:tabs>
          <w:tab w:val="left" w:pos="2175"/>
        </w:tabs>
        <w:spacing w:after="0" w:line="240" w:lineRule="auto"/>
        <w:jc w:val="both"/>
        <w:rPr>
          <w:i/>
        </w:rPr>
      </w:pPr>
    </w:p>
    <w:p w:rsidR="00484C3D" w:rsidRDefault="00484C3D" w:rsidP="00E3495C">
      <w:pPr>
        <w:tabs>
          <w:tab w:val="left" w:pos="2175"/>
        </w:tabs>
        <w:spacing w:after="0" w:line="240" w:lineRule="auto"/>
        <w:jc w:val="both"/>
      </w:pPr>
      <w:r>
        <w:t>How about for second round investments?  See below:</w:t>
      </w:r>
    </w:p>
    <w:p w:rsidR="00484C3D" w:rsidRPr="00484C3D" w:rsidRDefault="00484C3D" w:rsidP="00E3495C">
      <w:pPr>
        <w:tabs>
          <w:tab w:val="left" w:pos="2175"/>
        </w:tabs>
        <w:spacing w:after="0" w:line="240" w:lineRule="auto"/>
        <w:jc w:val="both"/>
      </w:pPr>
    </w:p>
    <w:p w:rsidR="0090784C" w:rsidRDefault="0090784C" w:rsidP="00E3495C">
      <w:pPr>
        <w:tabs>
          <w:tab w:val="left" w:pos="2175"/>
        </w:tabs>
        <w:spacing w:after="0" w:line="240" w:lineRule="auto"/>
        <w:jc w:val="center"/>
      </w:pPr>
      <w:r>
        <w:rPr>
          <w:noProof/>
        </w:rPr>
        <w:drawing>
          <wp:inline distT="0" distB="0" distL="0" distR="0" wp14:anchorId="3582A28E" wp14:editId="6FA2ED69">
            <wp:extent cx="3962292" cy="3933825"/>
            <wp:effectExtent l="0" t="508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3963850" cy="3935372"/>
                    </a:xfrm>
                    <a:prstGeom prst="rect">
                      <a:avLst/>
                    </a:prstGeom>
                    <a:noFill/>
                    <a:ln>
                      <a:noFill/>
                    </a:ln>
                  </pic:spPr>
                </pic:pic>
              </a:graphicData>
            </a:graphic>
          </wp:inline>
        </w:drawing>
      </w:r>
    </w:p>
    <w:p w:rsidR="0090784C" w:rsidRDefault="00484C3D" w:rsidP="00E3495C">
      <w:pPr>
        <w:tabs>
          <w:tab w:val="left" w:pos="2175"/>
        </w:tabs>
        <w:spacing w:after="0" w:line="240" w:lineRule="auto"/>
        <w:jc w:val="both"/>
      </w:pPr>
      <w:r>
        <w:t>How do the numbers look for both IPOs and acquisitions?</w:t>
      </w:r>
    </w:p>
    <w:p w:rsidR="00484C3D" w:rsidRDefault="00484C3D" w:rsidP="00E3495C">
      <w:pPr>
        <w:tabs>
          <w:tab w:val="left" w:pos="2175"/>
        </w:tabs>
        <w:spacing w:after="0" w:line="240" w:lineRule="auto"/>
        <w:jc w:val="both"/>
      </w:pPr>
    </w:p>
    <w:p w:rsidR="00484C3D" w:rsidRDefault="00484C3D" w:rsidP="00E3495C">
      <w:pPr>
        <w:tabs>
          <w:tab w:val="left" w:pos="2175"/>
        </w:tabs>
        <w:spacing w:after="0" w:line="240" w:lineRule="auto"/>
        <w:jc w:val="both"/>
      </w:pPr>
    </w:p>
    <w:p w:rsidR="003745DB" w:rsidRDefault="003745DB" w:rsidP="00E3495C">
      <w:pPr>
        <w:tabs>
          <w:tab w:val="left" w:pos="2175"/>
        </w:tabs>
        <w:spacing w:after="0" w:line="240" w:lineRule="auto"/>
        <w:jc w:val="both"/>
      </w:pPr>
    </w:p>
    <w:p w:rsidR="003745DB" w:rsidRDefault="003745DB" w:rsidP="00E3495C">
      <w:pPr>
        <w:tabs>
          <w:tab w:val="left" w:pos="2175"/>
        </w:tabs>
        <w:spacing w:after="0" w:line="240" w:lineRule="auto"/>
        <w:jc w:val="both"/>
      </w:pPr>
    </w:p>
    <w:p w:rsidR="003745DB" w:rsidRDefault="003745DB" w:rsidP="00E3495C">
      <w:pPr>
        <w:tabs>
          <w:tab w:val="left" w:pos="2175"/>
        </w:tabs>
        <w:spacing w:after="0" w:line="240" w:lineRule="auto"/>
        <w:jc w:val="both"/>
      </w:pPr>
    </w:p>
    <w:p w:rsidR="00484C3D" w:rsidRDefault="00484C3D" w:rsidP="00E3495C">
      <w:pPr>
        <w:tabs>
          <w:tab w:val="left" w:pos="2175"/>
        </w:tabs>
        <w:spacing w:after="0" w:line="240" w:lineRule="auto"/>
        <w:jc w:val="both"/>
      </w:pPr>
      <w:r>
        <w:t xml:space="preserve">Similar to the first round results, when all investments are considered (data not shown), roughly 75% do not return the initial capital invested and about 9% return more than </w:t>
      </w:r>
      <w:proofErr w:type="gramStart"/>
      <w:r>
        <w:t>10x</w:t>
      </w:r>
      <w:proofErr w:type="gramEnd"/>
      <w:r>
        <w:t>.</w:t>
      </w:r>
    </w:p>
    <w:p w:rsidR="00484C3D" w:rsidRDefault="00484C3D" w:rsidP="00E3495C">
      <w:pPr>
        <w:tabs>
          <w:tab w:val="left" w:pos="2175"/>
        </w:tabs>
        <w:spacing w:after="0" w:line="240" w:lineRule="auto"/>
        <w:jc w:val="both"/>
      </w:pPr>
    </w:p>
    <w:p w:rsidR="00484C3D" w:rsidRDefault="000E1421" w:rsidP="00E3495C">
      <w:pPr>
        <w:tabs>
          <w:tab w:val="left" w:pos="2175"/>
        </w:tabs>
        <w:spacing w:after="0" w:line="240" w:lineRule="auto"/>
        <w:jc w:val="both"/>
        <w:rPr>
          <w:b/>
        </w:rPr>
      </w:pPr>
      <w:r>
        <w:rPr>
          <w:b/>
        </w:rPr>
        <w:t>RISK-ADJUSTED VC RETURNS</w:t>
      </w:r>
    </w:p>
    <w:p w:rsidR="000E1421" w:rsidRDefault="000E1421" w:rsidP="00E3495C">
      <w:pPr>
        <w:tabs>
          <w:tab w:val="left" w:pos="2175"/>
        </w:tabs>
        <w:spacing w:after="0" w:line="240" w:lineRule="auto"/>
        <w:jc w:val="both"/>
        <w:rPr>
          <w:b/>
        </w:rPr>
      </w:pPr>
    </w:p>
    <w:p w:rsidR="000A0499" w:rsidRPr="000A0499" w:rsidRDefault="000A0499" w:rsidP="00E3495C">
      <w:pPr>
        <w:tabs>
          <w:tab w:val="left" w:pos="2175"/>
        </w:tabs>
        <w:spacing w:after="0" w:line="240" w:lineRule="auto"/>
        <w:jc w:val="both"/>
      </w:pPr>
      <w:r>
        <w:t>So far, our thinking</w:t>
      </w:r>
      <w:r w:rsidR="00985917">
        <w:t xml:space="preserve"> in this note</w:t>
      </w:r>
      <w:r>
        <w:t xml:space="preserve"> has been risk- and time-neutral, but proper thinking demands consideration of both</w:t>
      </w:r>
      <w:r w:rsidR="00985917">
        <w:t xml:space="preserve"> risk and time—and, thus, a pricing model.</w:t>
      </w:r>
    </w:p>
    <w:p w:rsidR="000A0499" w:rsidRDefault="000A0499" w:rsidP="00E3495C">
      <w:pPr>
        <w:tabs>
          <w:tab w:val="left" w:pos="2175"/>
        </w:tabs>
        <w:spacing w:after="0" w:line="240" w:lineRule="auto"/>
        <w:jc w:val="both"/>
        <w:rPr>
          <w:b/>
        </w:rPr>
      </w:pPr>
    </w:p>
    <w:p w:rsidR="003745DB" w:rsidRDefault="003745DB" w:rsidP="00E3495C">
      <w:pPr>
        <w:tabs>
          <w:tab w:val="left" w:pos="2175"/>
        </w:tabs>
        <w:spacing w:after="0" w:line="240" w:lineRule="auto"/>
        <w:jc w:val="both"/>
        <w:rPr>
          <w:b/>
        </w:rPr>
      </w:pPr>
    </w:p>
    <w:p w:rsidR="003745DB" w:rsidRDefault="003745DB" w:rsidP="00E3495C">
      <w:pPr>
        <w:tabs>
          <w:tab w:val="left" w:pos="2175"/>
        </w:tabs>
        <w:spacing w:after="0" w:line="240" w:lineRule="auto"/>
        <w:jc w:val="both"/>
        <w:rPr>
          <w:b/>
        </w:rPr>
      </w:pPr>
    </w:p>
    <w:p w:rsidR="003745DB" w:rsidRDefault="003745DB" w:rsidP="00E3495C">
      <w:pPr>
        <w:tabs>
          <w:tab w:val="left" w:pos="2175"/>
        </w:tabs>
        <w:spacing w:after="0" w:line="240" w:lineRule="auto"/>
        <w:jc w:val="both"/>
        <w:rPr>
          <w:b/>
        </w:rPr>
      </w:pPr>
    </w:p>
    <w:p w:rsidR="000E1421" w:rsidRPr="000A0499" w:rsidRDefault="000A0499" w:rsidP="00E3495C">
      <w:pPr>
        <w:tabs>
          <w:tab w:val="left" w:pos="2175"/>
        </w:tabs>
        <w:spacing w:after="0" w:line="240" w:lineRule="auto"/>
        <w:jc w:val="both"/>
        <w:rPr>
          <w:i/>
        </w:rPr>
      </w:pPr>
      <w:r>
        <w:rPr>
          <w:b/>
          <w:i/>
        </w:rPr>
        <w:lastRenderedPageBreak/>
        <w:t>The Capital Asset Pricing Mo</w:t>
      </w:r>
      <w:r w:rsidRPr="000A0499">
        <w:rPr>
          <w:b/>
          <w:i/>
        </w:rPr>
        <w:t>del (CAPM)</w:t>
      </w:r>
    </w:p>
    <w:p w:rsidR="000E1421" w:rsidRDefault="000E1421" w:rsidP="00E3495C">
      <w:pPr>
        <w:tabs>
          <w:tab w:val="left" w:pos="2175"/>
        </w:tabs>
        <w:spacing w:after="0" w:line="240" w:lineRule="auto"/>
        <w:jc w:val="both"/>
        <w:rPr>
          <w:b/>
        </w:rPr>
      </w:pPr>
    </w:p>
    <w:p w:rsidR="000E1421" w:rsidRDefault="000E1421" w:rsidP="00E3495C">
      <w:pPr>
        <w:tabs>
          <w:tab w:val="left" w:pos="2175"/>
        </w:tabs>
        <w:spacing w:after="0" w:line="240" w:lineRule="auto"/>
        <w:jc w:val="both"/>
      </w:pPr>
      <w:r>
        <w:t xml:space="preserve">The CAPM </w:t>
      </w:r>
      <w:r w:rsidR="00E3495C">
        <w:t xml:space="preserve">is the dominant theoretical pricing model in finance.  It </w:t>
      </w:r>
      <w:r w:rsidR="00985917">
        <w:t xml:space="preserve">rests on a number of assumptions beyond the scope of this course, but </w:t>
      </w:r>
      <w:r>
        <w:t>is built on the insight that the appropriate risk premium on an asset will be determined by its contribution to the risk of investors’ overall portfolios.</w:t>
      </w:r>
    </w:p>
    <w:p w:rsidR="000E1421" w:rsidRDefault="000E1421" w:rsidP="00E3495C">
      <w:pPr>
        <w:tabs>
          <w:tab w:val="left" w:pos="2175"/>
        </w:tabs>
        <w:spacing w:after="0" w:line="240" w:lineRule="auto"/>
        <w:jc w:val="both"/>
      </w:pPr>
    </w:p>
    <w:p w:rsidR="000E1421" w:rsidRDefault="000E1421" w:rsidP="00E3495C">
      <w:pPr>
        <w:tabs>
          <w:tab w:val="left" w:pos="2175"/>
        </w:tabs>
        <w:spacing w:after="0" w:line="240" w:lineRule="auto"/>
        <w:jc w:val="both"/>
      </w:pPr>
      <w:r>
        <w:t>In its most common form:</w:t>
      </w:r>
    </w:p>
    <w:p w:rsidR="000E1421" w:rsidRDefault="000E1421" w:rsidP="00E3495C">
      <w:pPr>
        <w:tabs>
          <w:tab w:val="left" w:pos="2175"/>
        </w:tabs>
        <w:spacing w:after="0" w:line="240" w:lineRule="auto"/>
        <w:jc w:val="both"/>
      </w:pPr>
    </w:p>
    <w:p w:rsidR="000E1421" w:rsidRPr="00842D3C" w:rsidRDefault="000E1421" w:rsidP="00E3495C">
      <w:pPr>
        <w:tabs>
          <w:tab w:val="left" w:pos="2175"/>
        </w:tabs>
        <w:spacing w:after="0" w:line="240" w:lineRule="auto"/>
        <w:jc w:val="center"/>
      </w:pPr>
      <w:r>
        <w:rPr>
          <w:noProof/>
        </w:rPr>
        <w:drawing>
          <wp:inline distT="0" distB="0" distL="0" distR="0" wp14:anchorId="587ACE74" wp14:editId="7A4F14F9">
            <wp:extent cx="2505075" cy="209550"/>
            <wp:effectExtent l="0" t="0" r="9525" b="0"/>
            <wp:docPr id="8" name="Picture 8" descr="E(R_i) = R_f + \beta_{i}(E(R_m) - R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_i) = R_f + \beta_{i}(E(R_m) - R_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209550"/>
                    </a:xfrm>
                    <a:prstGeom prst="rect">
                      <a:avLst/>
                    </a:prstGeom>
                    <a:noFill/>
                    <a:ln>
                      <a:noFill/>
                    </a:ln>
                  </pic:spPr>
                </pic:pic>
              </a:graphicData>
            </a:graphic>
          </wp:inline>
        </w:drawing>
      </w:r>
    </w:p>
    <w:p w:rsidR="000E1421" w:rsidRDefault="000E1421" w:rsidP="00E3495C">
      <w:pPr>
        <w:tabs>
          <w:tab w:val="left" w:pos="2175"/>
        </w:tabs>
        <w:spacing w:after="0" w:line="240" w:lineRule="auto"/>
        <w:jc w:val="both"/>
        <w:rPr>
          <w:b/>
        </w:rPr>
      </w:pPr>
    </w:p>
    <w:p w:rsidR="000E1421" w:rsidRDefault="00985917" w:rsidP="00E3495C">
      <w:pPr>
        <w:tabs>
          <w:tab w:val="left" w:pos="2175"/>
        </w:tabs>
        <w:spacing w:after="0" w:line="240" w:lineRule="auto"/>
        <w:jc w:val="both"/>
      </w:pPr>
      <w:r>
        <w:t>Define the specific variables:</w:t>
      </w:r>
    </w:p>
    <w:p w:rsidR="000E1421" w:rsidRDefault="000E1421" w:rsidP="00E3495C">
      <w:pPr>
        <w:tabs>
          <w:tab w:val="left" w:pos="2175"/>
        </w:tabs>
        <w:spacing w:after="0" w:line="240" w:lineRule="auto"/>
        <w:jc w:val="both"/>
      </w:pPr>
    </w:p>
    <w:p w:rsidR="000E1421" w:rsidRDefault="000E1421" w:rsidP="00E3495C">
      <w:pPr>
        <w:tabs>
          <w:tab w:val="left" w:pos="2175"/>
        </w:tabs>
        <w:spacing w:after="0" w:line="240" w:lineRule="auto"/>
        <w:jc w:val="both"/>
      </w:pPr>
    </w:p>
    <w:p w:rsidR="000E1421" w:rsidRDefault="000E1421" w:rsidP="00E3495C">
      <w:pPr>
        <w:tabs>
          <w:tab w:val="left" w:pos="2175"/>
        </w:tabs>
        <w:spacing w:after="0" w:line="240" w:lineRule="auto"/>
        <w:jc w:val="both"/>
      </w:pPr>
    </w:p>
    <w:p w:rsidR="000E1421" w:rsidRDefault="000E1421" w:rsidP="00E3495C">
      <w:pPr>
        <w:tabs>
          <w:tab w:val="left" w:pos="2175"/>
        </w:tabs>
        <w:spacing w:after="0" w:line="240" w:lineRule="auto"/>
        <w:jc w:val="both"/>
      </w:pPr>
    </w:p>
    <w:p w:rsidR="000E1421" w:rsidRDefault="000E1421" w:rsidP="00E3495C">
      <w:pPr>
        <w:tabs>
          <w:tab w:val="left" w:pos="2175"/>
        </w:tabs>
        <w:spacing w:after="0" w:line="240" w:lineRule="auto"/>
        <w:jc w:val="both"/>
        <w:rPr>
          <w:b/>
        </w:rPr>
      </w:pPr>
    </w:p>
    <w:p w:rsidR="000E1421" w:rsidRDefault="000E1421" w:rsidP="00E3495C">
      <w:pPr>
        <w:tabs>
          <w:tab w:val="left" w:pos="2175"/>
        </w:tabs>
        <w:spacing w:after="0" w:line="240" w:lineRule="auto"/>
        <w:jc w:val="both"/>
      </w:pPr>
      <w:r>
        <w:t>This relationship is portrayed graphically as the security market line (SML):</w:t>
      </w:r>
    </w:p>
    <w:p w:rsidR="000E1421" w:rsidRDefault="000E1421" w:rsidP="000E1421">
      <w:pPr>
        <w:tabs>
          <w:tab w:val="left" w:pos="2175"/>
        </w:tabs>
        <w:spacing w:after="0" w:line="240" w:lineRule="auto"/>
      </w:pPr>
    </w:p>
    <w:p w:rsidR="000E1421" w:rsidRDefault="000E1421" w:rsidP="000E1421">
      <w:pPr>
        <w:tabs>
          <w:tab w:val="left" w:pos="2175"/>
        </w:tabs>
        <w:spacing w:after="0" w:line="240" w:lineRule="auto"/>
        <w:jc w:val="center"/>
      </w:pPr>
      <w:r>
        <w:rPr>
          <w:noProof/>
        </w:rPr>
        <w:drawing>
          <wp:inline distT="0" distB="0" distL="0" distR="0" wp14:anchorId="61751CC9" wp14:editId="64DE405B">
            <wp:extent cx="3124200" cy="3314700"/>
            <wp:effectExtent l="0" t="0" r="0" b="0"/>
            <wp:docPr id="9" name="Picture 9" descr="C:\Users\Profit\AppData\Local\Microsoft\Windows\Temporary Internet Files\Content.Word\bod30700_0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ofit\AppData\Local\Microsoft\Windows\Temporary Internet Files\Content.Word\bod30700_09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3314700"/>
                    </a:xfrm>
                    <a:prstGeom prst="rect">
                      <a:avLst/>
                    </a:prstGeom>
                    <a:noFill/>
                    <a:ln>
                      <a:noFill/>
                    </a:ln>
                  </pic:spPr>
                </pic:pic>
              </a:graphicData>
            </a:graphic>
          </wp:inline>
        </w:drawing>
      </w:r>
    </w:p>
    <w:p w:rsidR="000E1421" w:rsidRDefault="000E1421" w:rsidP="000E1421">
      <w:pPr>
        <w:tabs>
          <w:tab w:val="left" w:pos="2175"/>
        </w:tabs>
        <w:spacing w:after="0" w:line="240" w:lineRule="auto"/>
        <w:jc w:val="center"/>
      </w:pPr>
    </w:p>
    <w:p w:rsidR="00985917" w:rsidRDefault="00985917" w:rsidP="00E3495C">
      <w:pPr>
        <w:tabs>
          <w:tab w:val="left" w:pos="2175"/>
        </w:tabs>
        <w:spacing w:after="0" w:line="240" w:lineRule="auto"/>
        <w:jc w:val="both"/>
      </w:pPr>
      <w:r>
        <w:t xml:space="preserve">The SML provides a benchmark for the evaluation of investment performance.  Given the risk of an investment, as measured by its beta, the SML provides the required rate of return necessary to compensate investors for risk as well as the time value of money.  </w:t>
      </w:r>
    </w:p>
    <w:p w:rsidR="00985917" w:rsidRDefault="00985917" w:rsidP="00E3495C">
      <w:pPr>
        <w:tabs>
          <w:tab w:val="left" w:pos="2175"/>
        </w:tabs>
        <w:spacing w:after="0" w:line="240" w:lineRule="auto"/>
        <w:jc w:val="both"/>
      </w:pPr>
    </w:p>
    <w:p w:rsidR="00985917" w:rsidRDefault="00985917" w:rsidP="00E3495C">
      <w:pPr>
        <w:tabs>
          <w:tab w:val="left" w:pos="2175"/>
        </w:tabs>
        <w:spacing w:after="0" w:line="240" w:lineRule="auto"/>
        <w:jc w:val="both"/>
      </w:pPr>
      <w:r>
        <w:t xml:space="preserve">So, how </w:t>
      </w:r>
      <w:proofErr w:type="gramStart"/>
      <w:r>
        <w:t>do</w:t>
      </w:r>
      <w:proofErr w:type="gramEnd"/>
      <w:r>
        <w:t xml:space="preserve"> historical VC returns stack up against the CAPM in regression form?  Consider:</w:t>
      </w:r>
    </w:p>
    <w:p w:rsidR="000E1421" w:rsidRDefault="000E1421" w:rsidP="00484C3D">
      <w:pPr>
        <w:tabs>
          <w:tab w:val="left" w:pos="2175"/>
        </w:tabs>
        <w:spacing w:after="0" w:line="240" w:lineRule="auto"/>
        <w:jc w:val="both"/>
      </w:pPr>
    </w:p>
    <w:p w:rsidR="00985917" w:rsidRDefault="00985917" w:rsidP="00484C3D">
      <w:pPr>
        <w:tabs>
          <w:tab w:val="left" w:pos="2175"/>
        </w:tabs>
        <w:spacing w:after="0" w:line="240" w:lineRule="auto"/>
        <w:jc w:val="both"/>
      </w:pPr>
    </w:p>
    <w:p w:rsidR="00985917" w:rsidRDefault="00985917" w:rsidP="00484C3D">
      <w:pPr>
        <w:tabs>
          <w:tab w:val="left" w:pos="2175"/>
        </w:tabs>
        <w:spacing w:after="0" w:line="240" w:lineRule="auto"/>
        <w:jc w:val="both"/>
      </w:pPr>
    </w:p>
    <w:p w:rsidR="00985917" w:rsidRDefault="00985917" w:rsidP="00484C3D">
      <w:pPr>
        <w:tabs>
          <w:tab w:val="left" w:pos="2175"/>
        </w:tabs>
        <w:spacing w:after="0" w:line="240" w:lineRule="auto"/>
        <w:jc w:val="both"/>
      </w:pPr>
    </w:p>
    <w:p w:rsidR="0090784C" w:rsidRDefault="0090784C" w:rsidP="0090784C">
      <w:pPr>
        <w:tabs>
          <w:tab w:val="left" w:pos="2175"/>
        </w:tabs>
        <w:spacing w:after="0" w:line="240" w:lineRule="auto"/>
        <w:jc w:val="center"/>
      </w:pPr>
      <w:r>
        <w:rPr>
          <w:noProof/>
        </w:rPr>
        <w:lastRenderedPageBreak/>
        <w:drawing>
          <wp:inline distT="0" distB="0" distL="0" distR="0">
            <wp:extent cx="1767848" cy="5788534"/>
            <wp:effectExtent l="9207"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1771965" cy="5802015"/>
                    </a:xfrm>
                    <a:prstGeom prst="rect">
                      <a:avLst/>
                    </a:prstGeom>
                    <a:noFill/>
                    <a:ln>
                      <a:noFill/>
                    </a:ln>
                  </pic:spPr>
                </pic:pic>
              </a:graphicData>
            </a:graphic>
          </wp:inline>
        </w:drawing>
      </w:r>
    </w:p>
    <w:p w:rsidR="00985917" w:rsidRDefault="00985917" w:rsidP="0090784C">
      <w:pPr>
        <w:tabs>
          <w:tab w:val="left" w:pos="2175"/>
        </w:tabs>
        <w:spacing w:after="0" w:line="240" w:lineRule="auto"/>
        <w:jc w:val="center"/>
      </w:pPr>
    </w:p>
    <w:p w:rsidR="00985917" w:rsidRDefault="00985917" w:rsidP="00985917">
      <w:pPr>
        <w:tabs>
          <w:tab w:val="left" w:pos="2175"/>
        </w:tabs>
        <w:spacing w:after="0" w:line="240" w:lineRule="auto"/>
        <w:jc w:val="both"/>
      </w:pPr>
      <w:r>
        <w:t>What does alpha measure?  Is a positive alpha good or bad?</w:t>
      </w:r>
    </w:p>
    <w:p w:rsidR="00985917" w:rsidRDefault="00985917" w:rsidP="00985917">
      <w:pPr>
        <w:tabs>
          <w:tab w:val="left" w:pos="2175"/>
        </w:tabs>
        <w:spacing w:after="0" w:line="240" w:lineRule="auto"/>
        <w:jc w:val="both"/>
      </w:pPr>
    </w:p>
    <w:p w:rsidR="00985917" w:rsidRDefault="00985917" w:rsidP="00985917">
      <w:pPr>
        <w:tabs>
          <w:tab w:val="left" w:pos="2175"/>
        </w:tabs>
        <w:spacing w:after="0" w:line="240" w:lineRule="auto"/>
        <w:jc w:val="both"/>
      </w:pPr>
    </w:p>
    <w:p w:rsidR="00985917" w:rsidRDefault="00985917" w:rsidP="00985917">
      <w:pPr>
        <w:tabs>
          <w:tab w:val="left" w:pos="2175"/>
        </w:tabs>
        <w:spacing w:after="0" w:line="240" w:lineRule="auto"/>
        <w:jc w:val="both"/>
      </w:pPr>
    </w:p>
    <w:p w:rsidR="00985917" w:rsidRDefault="00985917" w:rsidP="00985917">
      <w:pPr>
        <w:tabs>
          <w:tab w:val="left" w:pos="2175"/>
        </w:tabs>
        <w:spacing w:after="0" w:line="240" w:lineRule="auto"/>
        <w:jc w:val="both"/>
      </w:pPr>
    </w:p>
    <w:p w:rsidR="00985917" w:rsidRDefault="00985917" w:rsidP="00985917">
      <w:pPr>
        <w:tabs>
          <w:tab w:val="left" w:pos="2175"/>
        </w:tabs>
        <w:spacing w:after="0" w:line="240" w:lineRule="auto"/>
        <w:jc w:val="both"/>
      </w:pPr>
    </w:p>
    <w:p w:rsidR="00985917" w:rsidRDefault="00985917" w:rsidP="00985917">
      <w:pPr>
        <w:tabs>
          <w:tab w:val="left" w:pos="2175"/>
        </w:tabs>
        <w:spacing w:after="0" w:line="240" w:lineRule="auto"/>
        <w:jc w:val="both"/>
      </w:pPr>
      <w:r>
        <w:t>What is the estimated market beta for VC investments?  Does this suggest above- or below-average risk for VC funds?</w:t>
      </w:r>
    </w:p>
    <w:p w:rsidR="00985917" w:rsidRDefault="00985917" w:rsidP="00985917">
      <w:pPr>
        <w:tabs>
          <w:tab w:val="left" w:pos="2175"/>
        </w:tabs>
        <w:spacing w:after="0" w:line="240" w:lineRule="auto"/>
        <w:jc w:val="both"/>
      </w:pPr>
    </w:p>
    <w:p w:rsidR="00985917" w:rsidRDefault="00985917" w:rsidP="00985917">
      <w:pPr>
        <w:tabs>
          <w:tab w:val="left" w:pos="2175"/>
        </w:tabs>
        <w:spacing w:after="0" w:line="240" w:lineRule="auto"/>
        <w:jc w:val="both"/>
      </w:pPr>
    </w:p>
    <w:p w:rsidR="00985917" w:rsidRDefault="00985917" w:rsidP="00985917">
      <w:pPr>
        <w:tabs>
          <w:tab w:val="left" w:pos="2175"/>
        </w:tabs>
        <w:spacing w:after="0" w:line="240" w:lineRule="auto"/>
        <w:jc w:val="both"/>
      </w:pPr>
    </w:p>
    <w:p w:rsidR="00985917" w:rsidRDefault="00985917" w:rsidP="00985917">
      <w:pPr>
        <w:tabs>
          <w:tab w:val="left" w:pos="2175"/>
        </w:tabs>
        <w:spacing w:after="0" w:line="240" w:lineRule="auto"/>
        <w:jc w:val="both"/>
      </w:pPr>
    </w:p>
    <w:p w:rsidR="00985917" w:rsidRDefault="00985917" w:rsidP="00985917">
      <w:pPr>
        <w:tabs>
          <w:tab w:val="left" w:pos="2175"/>
        </w:tabs>
        <w:spacing w:after="0" w:line="240" w:lineRule="auto"/>
        <w:jc w:val="both"/>
      </w:pPr>
    </w:p>
    <w:p w:rsidR="00985917" w:rsidRPr="00985917" w:rsidRDefault="00985917" w:rsidP="00985917">
      <w:pPr>
        <w:tabs>
          <w:tab w:val="left" w:pos="2175"/>
        </w:tabs>
        <w:spacing w:after="0" w:line="240" w:lineRule="auto"/>
        <w:jc w:val="both"/>
        <w:rPr>
          <w:b/>
          <w:i/>
        </w:rPr>
      </w:pPr>
      <w:r>
        <w:rPr>
          <w:b/>
          <w:i/>
        </w:rPr>
        <w:t>Pastor-</w:t>
      </w:r>
      <w:proofErr w:type="spellStart"/>
      <w:r>
        <w:rPr>
          <w:b/>
          <w:i/>
        </w:rPr>
        <w:t>Stambaugh</w:t>
      </w:r>
      <w:proofErr w:type="spellEnd"/>
      <w:r>
        <w:rPr>
          <w:b/>
          <w:i/>
        </w:rPr>
        <w:t xml:space="preserve"> Model (PSM)</w:t>
      </w:r>
    </w:p>
    <w:p w:rsidR="00985917" w:rsidRDefault="00985917" w:rsidP="0090784C">
      <w:pPr>
        <w:tabs>
          <w:tab w:val="left" w:pos="2175"/>
        </w:tabs>
        <w:spacing w:after="0" w:line="240" w:lineRule="auto"/>
        <w:jc w:val="center"/>
      </w:pPr>
    </w:p>
    <w:p w:rsidR="00985917" w:rsidRDefault="00985917" w:rsidP="00985917">
      <w:pPr>
        <w:tabs>
          <w:tab w:val="left" w:pos="2175"/>
        </w:tabs>
        <w:spacing w:after="0" w:line="240" w:lineRule="auto"/>
        <w:jc w:val="both"/>
      </w:pPr>
      <w:r>
        <w:t>Theoretically, the CAPM is a truly beautiful model</w:t>
      </w:r>
      <w:r w:rsidR="00E3495C">
        <w:t xml:space="preserve"> thanks in large part to its simplicity</w:t>
      </w:r>
      <w:r>
        <w:t xml:space="preserve">; however, </w:t>
      </w:r>
      <w:r w:rsidR="00E3495C">
        <w:t>it has some empirical issues that have brought about a wide number of alternatives.  Chief among them is the Pastor-</w:t>
      </w:r>
      <w:proofErr w:type="spellStart"/>
      <w:r w:rsidR="00E3495C">
        <w:t>Stambaugh</w:t>
      </w:r>
      <w:proofErr w:type="spellEnd"/>
      <w:r w:rsidR="00E3495C">
        <w:t xml:space="preserve"> model which adds three variables of interest: size, value, and liquidity.  Consider below:</w:t>
      </w:r>
    </w:p>
    <w:p w:rsidR="00985917" w:rsidRDefault="00985917" w:rsidP="0090784C">
      <w:pPr>
        <w:tabs>
          <w:tab w:val="left" w:pos="2175"/>
        </w:tabs>
        <w:spacing w:after="0" w:line="240" w:lineRule="auto"/>
        <w:jc w:val="center"/>
      </w:pPr>
    </w:p>
    <w:p w:rsidR="00BC0531" w:rsidRDefault="00BC0531" w:rsidP="0090784C">
      <w:pPr>
        <w:tabs>
          <w:tab w:val="left" w:pos="2175"/>
        </w:tabs>
        <w:spacing w:after="0" w:line="240" w:lineRule="auto"/>
        <w:jc w:val="center"/>
      </w:pPr>
      <w:r>
        <w:rPr>
          <w:noProof/>
        </w:rPr>
        <w:drawing>
          <wp:inline distT="0" distB="0" distL="0" distR="0">
            <wp:extent cx="1838325" cy="5466473"/>
            <wp:effectExtent l="0" t="4127" r="5397" b="5398"/>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1838309" cy="5466425"/>
                    </a:xfrm>
                    <a:prstGeom prst="rect">
                      <a:avLst/>
                    </a:prstGeom>
                    <a:noFill/>
                    <a:ln>
                      <a:noFill/>
                    </a:ln>
                  </pic:spPr>
                </pic:pic>
              </a:graphicData>
            </a:graphic>
          </wp:inline>
        </w:drawing>
      </w:r>
    </w:p>
    <w:p w:rsidR="00BC0531" w:rsidRDefault="00BC0531" w:rsidP="0090784C">
      <w:pPr>
        <w:tabs>
          <w:tab w:val="left" w:pos="2175"/>
        </w:tabs>
        <w:spacing w:after="0" w:line="240" w:lineRule="auto"/>
        <w:jc w:val="center"/>
      </w:pPr>
    </w:p>
    <w:p w:rsidR="00E3495C" w:rsidRDefault="00E3495C" w:rsidP="00E3495C">
      <w:pPr>
        <w:tabs>
          <w:tab w:val="left" w:pos="2175"/>
        </w:tabs>
        <w:spacing w:after="0" w:line="240" w:lineRule="auto"/>
        <w:jc w:val="both"/>
      </w:pPr>
      <w:r>
        <w:t xml:space="preserve">Before delving into the data, why include firm size as a variable?  Value (and what does this mean)?  </w:t>
      </w:r>
      <w:proofErr w:type="gramStart"/>
      <w:r>
        <w:t>And liquidity?</w:t>
      </w:r>
      <w:proofErr w:type="gramEnd"/>
    </w:p>
    <w:p w:rsidR="00E3495C" w:rsidRDefault="00E3495C" w:rsidP="00E3495C">
      <w:pPr>
        <w:tabs>
          <w:tab w:val="left" w:pos="2175"/>
        </w:tabs>
        <w:spacing w:after="0" w:line="240" w:lineRule="auto"/>
        <w:jc w:val="both"/>
      </w:pPr>
    </w:p>
    <w:p w:rsidR="00E3495C" w:rsidRDefault="00E3495C" w:rsidP="00E3495C">
      <w:pPr>
        <w:tabs>
          <w:tab w:val="left" w:pos="2175"/>
        </w:tabs>
        <w:spacing w:after="0" w:line="240" w:lineRule="auto"/>
        <w:jc w:val="both"/>
      </w:pPr>
    </w:p>
    <w:p w:rsidR="00E3495C" w:rsidRDefault="00E3495C" w:rsidP="00E3495C">
      <w:pPr>
        <w:tabs>
          <w:tab w:val="left" w:pos="2175"/>
        </w:tabs>
        <w:spacing w:after="0" w:line="240" w:lineRule="auto"/>
        <w:jc w:val="both"/>
      </w:pPr>
    </w:p>
    <w:p w:rsidR="00E3495C" w:rsidRDefault="00E3495C" w:rsidP="00E3495C">
      <w:pPr>
        <w:tabs>
          <w:tab w:val="left" w:pos="2175"/>
        </w:tabs>
        <w:spacing w:after="0" w:line="240" w:lineRule="auto"/>
        <w:jc w:val="both"/>
      </w:pPr>
      <w:r>
        <w:lastRenderedPageBreak/>
        <w:t>What variables appear to be statistically significant?</w:t>
      </w:r>
    </w:p>
    <w:p w:rsidR="00E3495C" w:rsidRDefault="00E3495C" w:rsidP="00E3495C">
      <w:pPr>
        <w:tabs>
          <w:tab w:val="left" w:pos="2175"/>
        </w:tabs>
        <w:spacing w:after="0" w:line="240" w:lineRule="auto"/>
        <w:jc w:val="both"/>
      </w:pPr>
    </w:p>
    <w:p w:rsidR="00E3495C" w:rsidRDefault="00E3495C" w:rsidP="00E3495C">
      <w:pPr>
        <w:tabs>
          <w:tab w:val="left" w:pos="2175"/>
        </w:tabs>
        <w:spacing w:after="0" w:line="240" w:lineRule="auto"/>
        <w:jc w:val="both"/>
      </w:pPr>
    </w:p>
    <w:p w:rsidR="00E3495C" w:rsidRDefault="00E3495C" w:rsidP="00E3495C">
      <w:pPr>
        <w:tabs>
          <w:tab w:val="left" w:pos="2175"/>
        </w:tabs>
        <w:spacing w:after="0" w:line="240" w:lineRule="auto"/>
        <w:jc w:val="both"/>
      </w:pPr>
    </w:p>
    <w:p w:rsidR="00E3495C" w:rsidRDefault="00E3495C" w:rsidP="00E3495C">
      <w:pPr>
        <w:tabs>
          <w:tab w:val="left" w:pos="2175"/>
        </w:tabs>
        <w:spacing w:after="0" w:line="240" w:lineRule="auto"/>
        <w:jc w:val="both"/>
      </w:pPr>
    </w:p>
    <w:p w:rsidR="00E3495C" w:rsidRDefault="00E3495C" w:rsidP="00E3495C">
      <w:pPr>
        <w:tabs>
          <w:tab w:val="left" w:pos="2175"/>
        </w:tabs>
        <w:spacing w:after="0" w:line="240" w:lineRule="auto"/>
        <w:jc w:val="both"/>
      </w:pPr>
    </w:p>
    <w:p w:rsidR="00E3495C" w:rsidRDefault="00E3495C" w:rsidP="00E3495C">
      <w:pPr>
        <w:tabs>
          <w:tab w:val="left" w:pos="2175"/>
        </w:tabs>
        <w:spacing w:after="0" w:line="240" w:lineRule="auto"/>
        <w:jc w:val="both"/>
      </w:pPr>
      <w:r>
        <w:t>Do venture capital firms appear to generate alpha?</w:t>
      </w:r>
    </w:p>
    <w:p w:rsidR="00E3495C" w:rsidRDefault="00E3495C" w:rsidP="00E3495C">
      <w:pPr>
        <w:tabs>
          <w:tab w:val="left" w:pos="2175"/>
        </w:tabs>
        <w:spacing w:after="0" w:line="240" w:lineRule="auto"/>
        <w:jc w:val="both"/>
      </w:pPr>
    </w:p>
    <w:p w:rsidR="00E3495C" w:rsidRDefault="00E3495C" w:rsidP="00E3495C">
      <w:pPr>
        <w:tabs>
          <w:tab w:val="left" w:pos="2175"/>
        </w:tabs>
        <w:spacing w:after="0" w:line="240" w:lineRule="auto"/>
        <w:jc w:val="both"/>
      </w:pPr>
    </w:p>
    <w:p w:rsidR="00E3495C" w:rsidRDefault="00E3495C" w:rsidP="00E3495C">
      <w:pPr>
        <w:tabs>
          <w:tab w:val="left" w:pos="2175"/>
        </w:tabs>
        <w:spacing w:after="0" w:line="240" w:lineRule="auto"/>
        <w:jc w:val="both"/>
      </w:pPr>
    </w:p>
    <w:p w:rsidR="00E3495C" w:rsidRDefault="00E3495C" w:rsidP="00E3495C">
      <w:pPr>
        <w:tabs>
          <w:tab w:val="left" w:pos="2175"/>
        </w:tabs>
        <w:spacing w:after="0" w:line="240" w:lineRule="auto"/>
        <w:jc w:val="both"/>
      </w:pPr>
    </w:p>
    <w:p w:rsidR="00E3495C" w:rsidRDefault="00E3495C" w:rsidP="00E3495C">
      <w:pPr>
        <w:tabs>
          <w:tab w:val="left" w:pos="2175"/>
        </w:tabs>
        <w:spacing w:after="0" w:line="240" w:lineRule="auto"/>
        <w:jc w:val="both"/>
      </w:pPr>
    </w:p>
    <w:p w:rsidR="005A51F2" w:rsidRDefault="005A51F2" w:rsidP="00E3495C">
      <w:pPr>
        <w:tabs>
          <w:tab w:val="left" w:pos="2175"/>
        </w:tabs>
        <w:spacing w:after="0" w:line="240" w:lineRule="auto"/>
        <w:jc w:val="both"/>
      </w:pPr>
      <w:r>
        <w:t>What is the joint-hypothesis problem?  How does it relate to the above question?  Can we say for sure that venture capital firms do or do not outperform the market?</w:t>
      </w:r>
    </w:p>
    <w:p w:rsidR="005A51F2" w:rsidRDefault="005A51F2" w:rsidP="00E3495C">
      <w:pPr>
        <w:tabs>
          <w:tab w:val="left" w:pos="2175"/>
        </w:tabs>
        <w:spacing w:after="0" w:line="240" w:lineRule="auto"/>
        <w:jc w:val="both"/>
      </w:pPr>
    </w:p>
    <w:p w:rsidR="005A51F2" w:rsidRDefault="005A51F2" w:rsidP="00E3495C">
      <w:pPr>
        <w:tabs>
          <w:tab w:val="left" w:pos="2175"/>
        </w:tabs>
        <w:spacing w:after="0" w:line="240" w:lineRule="auto"/>
        <w:jc w:val="both"/>
      </w:pPr>
    </w:p>
    <w:p w:rsidR="005A51F2" w:rsidRDefault="005A51F2" w:rsidP="00E3495C">
      <w:pPr>
        <w:tabs>
          <w:tab w:val="left" w:pos="2175"/>
        </w:tabs>
        <w:spacing w:after="0" w:line="240" w:lineRule="auto"/>
        <w:jc w:val="both"/>
      </w:pPr>
    </w:p>
    <w:p w:rsidR="005A51F2" w:rsidRDefault="005A51F2" w:rsidP="00E3495C">
      <w:pPr>
        <w:tabs>
          <w:tab w:val="left" w:pos="2175"/>
        </w:tabs>
        <w:spacing w:after="0" w:line="240" w:lineRule="auto"/>
        <w:jc w:val="both"/>
      </w:pPr>
    </w:p>
    <w:p w:rsidR="005A51F2" w:rsidRDefault="005A51F2" w:rsidP="00E3495C">
      <w:pPr>
        <w:tabs>
          <w:tab w:val="left" w:pos="2175"/>
        </w:tabs>
        <w:spacing w:after="0" w:line="240" w:lineRule="auto"/>
        <w:jc w:val="both"/>
      </w:pPr>
    </w:p>
    <w:p w:rsidR="00E3495C" w:rsidRDefault="00E3495C" w:rsidP="00E3495C">
      <w:pPr>
        <w:tabs>
          <w:tab w:val="left" w:pos="2175"/>
        </w:tabs>
        <w:spacing w:after="0" w:line="240" w:lineRule="auto"/>
        <w:jc w:val="both"/>
        <w:rPr>
          <w:b/>
        </w:rPr>
      </w:pPr>
      <w:r>
        <w:rPr>
          <w:b/>
        </w:rPr>
        <w:t>NOTABLE VENTURE CAPITAL FIRMS</w:t>
      </w:r>
    </w:p>
    <w:p w:rsidR="00E3495C" w:rsidRDefault="00E3495C" w:rsidP="00E3495C">
      <w:pPr>
        <w:tabs>
          <w:tab w:val="left" w:pos="2175"/>
        </w:tabs>
        <w:spacing w:after="0" w:line="240" w:lineRule="auto"/>
        <w:jc w:val="both"/>
        <w:rPr>
          <w:b/>
        </w:rPr>
      </w:pPr>
    </w:p>
    <w:p w:rsidR="00E3495C" w:rsidRPr="00E3495C" w:rsidRDefault="00E3495C" w:rsidP="00E3495C">
      <w:pPr>
        <w:tabs>
          <w:tab w:val="left" w:pos="2175"/>
        </w:tabs>
        <w:spacing w:after="0" w:line="240" w:lineRule="auto"/>
        <w:jc w:val="both"/>
      </w:pPr>
      <w:r>
        <w:t>Able to beat the market or not, venture capital currently occupies an important place in the start-up community.  There is a lot of debate about which firms are truly top-tier; however, the below list introduces quite a few of the best performers.</w:t>
      </w:r>
    </w:p>
    <w:p w:rsidR="00E3495C" w:rsidRPr="00E3495C" w:rsidRDefault="00E3495C" w:rsidP="00E3495C">
      <w:pPr>
        <w:tabs>
          <w:tab w:val="left" w:pos="2175"/>
        </w:tabs>
        <w:spacing w:after="0" w:line="240" w:lineRule="auto"/>
        <w:jc w:val="both"/>
        <w:rPr>
          <w:b/>
        </w:rPr>
      </w:pPr>
    </w:p>
    <w:p w:rsidR="00BC0531" w:rsidRDefault="00BC0531" w:rsidP="0090784C">
      <w:pPr>
        <w:tabs>
          <w:tab w:val="left" w:pos="2175"/>
        </w:tabs>
        <w:spacing w:after="0" w:line="240" w:lineRule="auto"/>
        <w:jc w:val="center"/>
      </w:pPr>
      <w:r>
        <w:rPr>
          <w:noProof/>
        </w:rPr>
        <w:drawing>
          <wp:inline distT="0" distB="0" distL="0" distR="0" wp14:anchorId="61DF189B" wp14:editId="46BFE22D">
            <wp:extent cx="3200400" cy="4447287"/>
            <wp:effectExtent l="5397" t="0" r="5398" b="539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3201931" cy="4449414"/>
                    </a:xfrm>
                    <a:prstGeom prst="rect">
                      <a:avLst/>
                    </a:prstGeom>
                    <a:noFill/>
                    <a:ln>
                      <a:noFill/>
                    </a:ln>
                  </pic:spPr>
                </pic:pic>
              </a:graphicData>
            </a:graphic>
          </wp:inline>
        </w:drawing>
      </w:r>
    </w:p>
    <w:p w:rsidR="00E3495C" w:rsidRDefault="00E3495C" w:rsidP="0090784C">
      <w:pPr>
        <w:tabs>
          <w:tab w:val="left" w:pos="2175"/>
        </w:tabs>
        <w:spacing w:after="0" w:line="240" w:lineRule="auto"/>
        <w:jc w:val="center"/>
      </w:pPr>
    </w:p>
    <w:p w:rsidR="00E3495C" w:rsidRDefault="006373C5" w:rsidP="00E3495C">
      <w:pPr>
        <w:tabs>
          <w:tab w:val="left" w:pos="2175"/>
        </w:tabs>
        <w:spacing w:after="0" w:line="240" w:lineRule="auto"/>
        <w:jc w:val="both"/>
      </w:pPr>
      <w:r>
        <w:t xml:space="preserve">For more detailed accounts of these firms (which made investments in Facebook, </w:t>
      </w:r>
      <w:proofErr w:type="spellStart"/>
      <w:r>
        <w:t>OpenTable</w:t>
      </w:r>
      <w:proofErr w:type="spellEnd"/>
      <w:r>
        <w:t xml:space="preserve">, AOL, Amazon.com, Compaq, Electronic Arts, Google, Intuit, Juniper Networks, Netscape, Sun, Symantec, </w:t>
      </w:r>
      <w:r>
        <w:lastRenderedPageBreak/>
        <w:t>Apple, Cisco, Yahoo, YouTube, TiVo, Netflix, Twitter, and Hotmail), I encourage you to take a look at the fifth chapter of the assigned text.</w:t>
      </w:r>
    </w:p>
    <w:p w:rsidR="006373C5" w:rsidRDefault="006373C5" w:rsidP="00E3495C">
      <w:pPr>
        <w:tabs>
          <w:tab w:val="left" w:pos="2175"/>
        </w:tabs>
        <w:spacing w:after="0" w:line="240" w:lineRule="auto"/>
        <w:jc w:val="both"/>
      </w:pPr>
    </w:p>
    <w:p w:rsidR="006373C5" w:rsidRDefault="006373C5" w:rsidP="00E3495C">
      <w:pPr>
        <w:tabs>
          <w:tab w:val="left" w:pos="2175"/>
        </w:tabs>
        <w:spacing w:after="0" w:line="240" w:lineRule="auto"/>
        <w:jc w:val="both"/>
        <w:rPr>
          <w:b/>
        </w:rPr>
      </w:pPr>
      <w:r>
        <w:rPr>
          <w:b/>
        </w:rPr>
        <w:t>CONCLUSIONS</w:t>
      </w:r>
    </w:p>
    <w:p w:rsidR="006373C5" w:rsidRDefault="006373C5" w:rsidP="00E3495C">
      <w:pPr>
        <w:tabs>
          <w:tab w:val="left" w:pos="2175"/>
        </w:tabs>
        <w:spacing w:after="0" w:line="240" w:lineRule="auto"/>
        <w:jc w:val="both"/>
        <w:rPr>
          <w:b/>
        </w:rPr>
      </w:pPr>
    </w:p>
    <w:p w:rsidR="006373C5" w:rsidRPr="006373C5" w:rsidRDefault="006B1F28" w:rsidP="00E3495C">
      <w:pPr>
        <w:tabs>
          <w:tab w:val="left" w:pos="2175"/>
        </w:tabs>
        <w:spacing w:after="0" w:line="240" w:lineRule="auto"/>
        <w:jc w:val="both"/>
      </w:pPr>
      <w:r>
        <w:t>Next week, we will continue our discussion of venture capital with sessions on term sheets, preferred stock, and corporate VC activities.</w:t>
      </w:r>
    </w:p>
    <w:sectPr w:rsidR="006373C5" w:rsidRPr="00637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E7B8C"/>
    <w:multiLevelType w:val="hybridMultilevel"/>
    <w:tmpl w:val="0E78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F48BD"/>
    <w:multiLevelType w:val="hybridMultilevel"/>
    <w:tmpl w:val="28C0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7845E1"/>
    <w:multiLevelType w:val="hybridMultilevel"/>
    <w:tmpl w:val="F742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DE"/>
    <w:rsid w:val="000015DC"/>
    <w:rsid w:val="00006C75"/>
    <w:rsid w:val="00006E20"/>
    <w:rsid w:val="000A0499"/>
    <w:rsid w:val="000C29DA"/>
    <w:rsid w:val="000E1421"/>
    <w:rsid w:val="000E5222"/>
    <w:rsid w:val="000F287E"/>
    <w:rsid w:val="00137D51"/>
    <w:rsid w:val="001430AD"/>
    <w:rsid w:val="001A103D"/>
    <w:rsid w:val="001A3A09"/>
    <w:rsid w:val="001B6AEA"/>
    <w:rsid w:val="00200D23"/>
    <w:rsid w:val="00202D6D"/>
    <w:rsid w:val="00216CB1"/>
    <w:rsid w:val="002932E1"/>
    <w:rsid w:val="002C5702"/>
    <w:rsid w:val="002C6C9E"/>
    <w:rsid w:val="002C75B4"/>
    <w:rsid w:val="002E2389"/>
    <w:rsid w:val="003745DB"/>
    <w:rsid w:val="00375A0F"/>
    <w:rsid w:val="003920DF"/>
    <w:rsid w:val="003D5683"/>
    <w:rsid w:val="004465F1"/>
    <w:rsid w:val="00484865"/>
    <w:rsid w:val="00484C3D"/>
    <w:rsid w:val="004C0F9C"/>
    <w:rsid w:val="00506444"/>
    <w:rsid w:val="0050790D"/>
    <w:rsid w:val="00531C4C"/>
    <w:rsid w:val="005575E4"/>
    <w:rsid w:val="00580C32"/>
    <w:rsid w:val="005A51F2"/>
    <w:rsid w:val="005D1993"/>
    <w:rsid w:val="005D5D39"/>
    <w:rsid w:val="006373C5"/>
    <w:rsid w:val="00694069"/>
    <w:rsid w:val="006B0D9C"/>
    <w:rsid w:val="006B1F28"/>
    <w:rsid w:val="00714774"/>
    <w:rsid w:val="007456C8"/>
    <w:rsid w:val="007C07CC"/>
    <w:rsid w:val="007C6A6A"/>
    <w:rsid w:val="007F5F9A"/>
    <w:rsid w:val="00844629"/>
    <w:rsid w:val="0086221E"/>
    <w:rsid w:val="008A13E5"/>
    <w:rsid w:val="008A3944"/>
    <w:rsid w:val="008A74E3"/>
    <w:rsid w:val="008C7A71"/>
    <w:rsid w:val="008E1D79"/>
    <w:rsid w:val="009008CA"/>
    <w:rsid w:val="009047BE"/>
    <w:rsid w:val="0090784C"/>
    <w:rsid w:val="009114DE"/>
    <w:rsid w:val="0091634F"/>
    <w:rsid w:val="00920F07"/>
    <w:rsid w:val="00934066"/>
    <w:rsid w:val="00937563"/>
    <w:rsid w:val="009375D6"/>
    <w:rsid w:val="009674C5"/>
    <w:rsid w:val="00985917"/>
    <w:rsid w:val="009916E0"/>
    <w:rsid w:val="009B3D2E"/>
    <w:rsid w:val="009C69D5"/>
    <w:rsid w:val="00A80B16"/>
    <w:rsid w:val="00A95C54"/>
    <w:rsid w:val="00AC06BC"/>
    <w:rsid w:val="00AC5D3C"/>
    <w:rsid w:val="00AF2859"/>
    <w:rsid w:val="00B350E4"/>
    <w:rsid w:val="00BC0531"/>
    <w:rsid w:val="00BC71BF"/>
    <w:rsid w:val="00C26564"/>
    <w:rsid w:val="00C32FDB"/>
    <w:rsid w:val="00C42C7E"/>
    <w:rsid w:val="00C7648B"/>
    <w:rsid w:val="00D243CA"/>
    <w:rsid w:val="00D3546B"/>
    <w:rsid w:val="00DE14EB"/>
    <w:rsid w:val="00E3495C"/>
    <w:rsid w:val="00EE29A5"/>
    <w:rsid w:val="00EF12E2"/>
    <w:rsid w:val="00F0247F"/>
    <w:rsid w:val="00F029E3"/>
    <w:rsid w:val="00F144B5"/>
    <w:rsid w:val="00F27003"/>
    <w:rsid w:val="00F80667"/>
    <w:rsid w:val="00FC6B14"/>
    <w:rsid w:val="00FF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859"/>
    <w:pPr>
      <w:ind w:left="720"/>
      <w:contextualSpacing/>
    </w:pPr>
  </w:style>
  <w:style w:type="paragraph" w:styleId="BalloonText">
    <w:name w:val="Balloon Text"/>
    <w:basedOn w:val="Normal"/>
    <w:link w:val="BalloonTextChar"/>
    <w:uiPriority w:val="99"/>
    <w:semiHidden/>
    <w:unhideWhenUsed/>
    <w:rsid w:val="00907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8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859"/>
    <w:pPr>
      <w:ind w:left="720"/>
      <w:contextualSpacing/>
    </w:pPr>
  </w:style>
  <w:style w:type="paragraph" w:styleId="BalloonText">
    <w:name w:val="Balloon Text"/>
    <w:basedOn w:val="Normal"/>
    <w:link w:val="BalloonTextChar"/>
    <w:uiPriority w:val="99"/>
    <w:semiHidden/>
    <w:unhideWhenUsed/>
    <w:rsid w:val="00907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8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2018-12-19T04:12:00Z</dcterms:created>
  <dcterms:modified xsi:type="dcterms:W3CDTF">2018-12-19T04:12:00Z</dcterms:modified>
</cp:coreProperties>
</file>