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4DE" w:rsidRDefault="009114DE" w:rsidP="00E3495C">
      <w:pPr>
        <w:spacing w:after="0" w:line="240" w:lineRule="auto"/>
        <w:jc w:val="center"/>
      </w:pPr>
      <w:bookmarkStart w:id="0" w:name="_GoBack"/>
      <w:bookmarkEnd w:id="0"/>
      <w:r>
        <w:t xml:space="preserve">Exploratory Note </w:t>
      </w:r>
      <w:r w:rsidR="00815BDE">
        <w:t>17</w:t>
      </w:r>
    </w:p>
    <w:p w:rsidR="00D243CA" w:rsidRDefault="00815BDE" w:rsidP="00E3495C">
      <w:pPr>
        <w:spacing w:after="0" w:line="240" w:lineRule="auto"/>
        <w:jc w:val="center"/>
      </w:pPr>
      <w:r>
        <w:t>Preferred Stock – Basics and Conversion</w:t>
      </w:r>
    </w:p>
    <w:p w:rsidR="008C7A71" w:rsidRDefault="008C7A71" w:rsidP="00E3495C">
      <w:pPr>
        <w:spacing w:after="0" w:line="240" w:lineRule="auto"/>
        <w:jc w:val="both"/>
      </w:pPr>
    </w:p>
    <w:p w:rsidR="00C7648B" w:rsidRDefault="009114DE" w:rsidP="00E3495C">
      <w:pPr>
        <w:tabs>
          <w:tab w:val="left" w:pos="2175"/>
        </w:tabs>
        <w:spacing w:after="0" w:line="240" w:lineRule="auto"/>
        <w:jc w:val="both"/>
      </w:pPr>
      <w:r>
        <w:rPr>
          <w:b/>
        </w:rPr>
        <w:t>INTRODUCTION</w:t>
      </w:r>
    </w:p>
    <w:p w:rsidR="00C7648B" w:rsidRDefault="00C7648B" w:rsidP="00E3495C">
      <w:pPr>
        <w:tabs>
          <w:tab w:val="left" w:pos="2175"/>
        </w:tabs>
        <w:spacing w:after="0" w:line="240" w:lineRule="auto"/>
        <w:jc w:val="both"/>
      </w:pPr>
    </w:p>
    <w:p w:rsidR="00815BDE" w:rsidRDefault="00815BDE" w:rsidP="00E3495C">
      <w:pPr>
        <w:tabs>
          <w:tab w:val="left" w:pos="2175"/>
        </w:tabs>
        <w:spacing w:after="0" w:line="240" w:lineRule="auto"/>
        <w:jc w:val="both"/>
      </w:pPr>
      <w:r>
        <w:t>In public markets, the vast majority of equity investment</w:t>
      </w:r>
      <w:r w:rsidR="001D56C8">
        <w:t>s are made with common stock; h</w:t>
      </w:r>
      <w:r>
        <w:t>owever, for VC transactions in the United States, nearly all the investments are made with preferred stock.</w:t>
      </w:r>
      <w:r w:rsidR="001D56C8">
        <w:t xml:space="preserve">  </w:t>
      </w:r>
      <w:r w:rsidR="001062A9">
        <w:t>The key characteristics of preferred stock are that it has preference over common stock in liquidation settings and is oftentimes, though not always, convertible to common stock at the option of the holder.  This note explores these characteristics in quite</w:t>
      </w:r>
      <w:r w:rsidR="0037161C">
        <w:t xml:space="preserve"> some depth and also touches upon anti-dilution matters.</w:t>
      </w: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r>
        <w:rPr>
          <w:b/>
        </w:rPr>
        <w:t>TYPES OF PREFERRED STOCK</w:t>
      </w: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r>
        <w:t>Preferred stock comes in four primary forms: redeemable preferred (RP), convertible preferred (CP), participating convertible preferred (PCP), and participating convertible preferred with cap (PCPC).</w:t>
      </w:r>
    </w:p>
    <w:p w:rsidR="00815BDE" w:rsidRDefault="00815BDE" w:rsidP="00E3495C">
      <w:pPr>
        <w:tabs>
          <w:tab w:val="left" w:pos="2175"/>
        </w:tabs>
        <w:spacing w:after="0" w:line="240" w:lineRule="auto"/>
        <w:jc w:val="both"/>
      </w:pPr>
    </w:p>
    <w:p w:rsidR="00815BDE" w:rsidRPr="00815BDE" w:rsidRDefault="00815BDE" w:rsidP="00E3495C">
      <w:pPr>
        <w:tabs>
          <w:tab w:val="left" w:pos="2175"/>
        </w:tabs>
        <w:spacing w:after="0" w:line="240" w:lineRule="auto"/>
        <w:jc w:val="both"/>
        <w:rPr>
          <w:b/>
          <w:i/>
        </w:rPr>
      </w:pPr>
      <w:r>
        <w:rPr>
          <w:b/>
          <w:i/>
        </w:rPr>
        <w:t>Redeemable Preferred (RP)</w:t>
      </w:r>
    </w:p>
    <w:p w:rsidR="00815BDE" w:rsidRDefault="00815BDE" w:rsidP="00E3495C">
      <w:pPr>
        <w:tabs>
          <w:tab w:val="left" w:pos="2175"/>
        </w:tabs>
        <w:spacing w:after="0" w:line="240" w:lineRule="auto"/>
        <w:jc w:val="both"/>
      </w:pPr>
    </w:p>
    <w:p w:rsidR="006373C5" w:rsidRDefault="001062A9" w:rsidP="00E3495C">
      <w:pPr>
        <w:tabs>
          <w:tab w:val="left" w:pos="2175"/>
        </w:tabs>
        <w:spacing w:after="0" w:line="240" w:lineRule="auto"/>
        <w:jc w:val="both"/>
      </w:pPr>
      <w:r>
        <w:t xml:space="preserve">Redeemable preferred (RP) </w:t>
      </w:r>
      <w:r w:rsidR="00815BDE">
        <w:t>is a bond</w:t>
      </w:r>
      <w:r>
        <w:t>-</w:t>
      </w:r>
      <w:r w:rsidR="00815BDE">
        <w:t>like security that is senior to common stock but cannot</w:t>
      </w:r>
      <w:r>
        <w:t xml:space="preserve"> be converted to common stock.   The payoff diagram for RP looks like this:</w:t>
      </w:r>
    </w:p>
    <w:p w:rsidR="001062A9" w:rsidRDefault="001062A9" w:rsidP="00E3495C">
      <w:pPr>
        <w:tabs>
          <w:tab w:val="left" w:pos="2175"/>
        </w:tabs>
        <w:spacing w:after="0" w:line="240" w:lineRule="auto"/>
        <w:jc w:val="both"/>
      </w:pPr>
    </w:p>
    <w:p w:rsidR="001062A9" w:rsidRDefault="001062A9" w:rsidP="001062A9">
      <w:pPr>
        <w:tabs>
          <w:tab w:val="left" w:pos="2175"/>
        </w:tabs>
        <w:spacing w:after="0" w:line="240" w:lineRule="auto"/>
        <w:jc w:val="center"/>
      </w:pPr>
      <w:r>
        <w:rPr>
          <w:noProof/>
        </w:rPr>
        <w:drawing>
          <wp:inline distT="0" distB="0" distL="0" distR="0">
            <wp:extent cx="42291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2590800"/>
                    </a:xfrm>
                    <a:prstGeom prst="rect">
                      <a:avLst/>
                    </a:prstGeom>
                    <a:noFill/>
                    <a:ln>
                      <a:noFill/>
                    </a:ln>
                  </pic:spPr>
                </pic:pic>
              </a:graphicData>
            </a:graphic>
          </wp:inline>
        </w:drawing>
      </w:r>
    </w:p>
    <w:p w:rsidR="00815BDE" w:rsidRDefault="00815BDE" w:rsidP="00E3495C">
      <w:pPr>
        <w:tabs>
          <w:tab w:val="left" w:pos="2175"/>
        </w:tabs>
        <w:spacing w:after="0" w:line="240" w:lineRule="auto"/>
        <w:jc w:val="both"/>
      </w:pPr>
    </w:p>
    <w:p w:rsidR="001062A9" w:rsidRDefault="001062A9" w:rsidP="00E3495C">
      <w:pPr>
        <w:tabs>
          <w:tab w:val="left" w:pos="2175"/>
        </w:tabs>
        <w:spacing w:after="0" w:line="240" w:lineRule="auto"/>
        <w:jc w:val="both"/>
      </w:pPr>
      <w:r>
        <w:t>Are VC investors likely to accept RP for an investment in a startup?  Why?</w:t>
      </w:r>
    </w:p>
    <w:p w:rsidR="001062A9" w:rsidRDefault="001062A9" w:rsidP="00E3495C">
      <w:pPr>
        <w:tabs>
          <w:tab w:val="left" w:pos="2175"/>
        </w:tabs>
        <w:spacing w:after="0" w:line="240" w:lineRule="auto"/>
        <w:jc w:val="both"/>
      </w:pPr>
    </w:p>
    <w:p w:rsidR="001062A9" w:rsidRDefault="001062A9" w:rsidP="00E3495C">
      <w:pPr>
        <w:tabs>
          <w:tab w:val="left" w:pos="2175"/>
        </w:tabs>
        <w:spacing w:after="0" w:line="240" w:lineRule="auto"/>
        <w:jc w:val="both"/>
      </w:pPr>
    </w:p>
    <w:p w:rsidR="001062A9" w:rsidRDefault="001062A9" w:rsidP="00E3495C">
      <w:pPr>
        <w:tabs>
          <w:tab w:val="left" w:pos="2175"/>
        </w:tabs>
        <w:spacing w:after="0" w:line="240" w:lineRule="auto"/>
        <w:jc w:val="both"/>
      </w:pPr>
    </w:p>
    <w:p w:rsidR="001062A9" w:rsidRDefault="001062A9" w:rsidP="00E3495C">
      <w:pPr>
        <w:tabs>
          <w:tab w:val="left" w:pos="2175"/>
        </w:tabs>
        <w:spacing w:after="0" w:line="240" w:lineRule="auto"/>
        <w:jc w:val="both"/>
      </w:pPr>
    </w:p>
    <w:p w:rsidR="001062A9" w:rsidRDefault="001062A9" w:rsidP="00E3495C">
      <w:pPr>
        <w:tabs>
          <w:tab w:val="left" w:pos="2175"/>
        </w:tabs>
        <w:spacing w:after="0" w:line="240" w:lineRule="auto"/>
        <w:jc w:val="both"/>
      </w:pPr>
    </w:p>
    <w:p w:rsidR="00815BDE" w:rsidRPr="00815BDE" w:rsidRDefault="00815BDE" w:rsidP="00E3495C">
      <w:pPr>
        <w:tabs>
          <w:tab w:val="left" w:pos="2175"/>
        </w:tabs>
        <w:spacing w:after="0" w:line="240" w:lineRule="auto"/>
        <w:jc w:val="both"/>
        <w:rPr>
          <w:b/>
          <w:i/>
        </w:rPr>
      </w:pPr>
      <w:r>
        <w:rPr>
          <w:b/>
          <w:i/>
        </w:rPr>
        <w:t>Convertible Preferred (CP)</w:t>
      </w: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r>
        <w:t>Convertible preferred stock (CP) provides the same downside protection as RP with the additional option of converting to common stock.</w:t>
      </w:r>
    </w:p>
    <w:p w:rsidR="00815BDE" w:rsidRDefault="00815BDE" w:rsidP="00E3495C">
      <w:pPr>
        <w:tabs>
          <w:tab w:val="left" w:pos="2175"/>
        </w:tabs>
        <w:spacing w:after="0" w:line="240" w:lineRule="auto"/>
        <w:jc w:val="both"/>
      </w:pPr>
    </w:p>
    <w:p w:rsidR="004312CC" w:rsidRDefault="004312CC" w:rsidP="00E3495C">
      <w:pPr>
        <w:tabs>
          <w:tab w:val="left" w:pos="2175"/>
        </w:tabs>
        <w:spacing w:after="0" w:line="240" w:lineRule="auto"/>
        <w:jc w:val="both"/>
      </w:pPr>
      <w:r>
        <w:lastRenderedPageBreak/>
        <w:t>In the below diagram, the payoff for RP is shown as a solid black line and the payoff for common stock is shown as a dashed line:</w:t>
      </w:r>
    </w:p>
    <w:p w:rsidR="004312CC" w:rsidRDefault="004312CC" w:rsidP="00E3495C">
      <w:pPr>
        <w:tabs>
          <w:tab w:val="left" w:pos="2175"/>
        </w:tabs>
        <w:spacing w:after="0" w:line="240" w:lineRule="auto"/>
        <w:jc w:val="both"/>
      </w:pPr>
    </w:p>
    <w:p w:rsidR="001062A9" w:rsidRPr="001062A9" w:rsidRDefault="004312CC" w:rsidP="004312CC">
      <w:pPr>
        <w:tabs>
          <w:tab w:val="left" w:pos="2175"/>
        </w:tabs>
        <w:spacing w:after="0" w:line="240" w:lineRule="auto"/>
        <w:jc w:val="center"/>
      </w:pPr>
      <w:r>
        <w:rPr>
          <w:noProof/>
        </w:rPr>
        <w:drawing>
          <wp:inline distT="0" distB="0" distL="0" distR="0">
            <wp:extent cx="4572000" cy="244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65" cy="2448281"/>
                    </a:xfrm>
                    <a:prstGeom prst="rect">
                      <a:avLst/>
                    </a:prstGeom>
                    <a:noFill/>
                    <a:ln>
                      <a:noFill/>
                    </a:ln>
                  </pic:spPr>
                </pic:pic>
              </a:graphicData>
            </a:graphic>
          </wp:inline>
        </w:drawing>
      </w:r>
    </w:p>
    <w:p w:rsidR="001062A9" w:rsidRDefault="001062A9" w:rsidP="00E3495C">
      <w:pPr>
        <w:tabs>
          <w:tab w:val="left" w:pos="2175"/>
        </w:tabs>
        <w:spacing w:after="0" w:line="240" w:lineRule="auto"/>
        <w:jc w:val="both"/>
        <w:rPr>
          <w:b/>
          <w:i/>
        </w:rPr>
      </w:pPr>
    </w:p>
    <w:p w:rsidR="004312CC" w:rsidRDefault="004312CC" w:rsidP="00E3495C">
      <w:pPr>
        <w:tabs>
          <w:tab w:val="left" w:pos="2175"/>
        </w:tabs>
        <w:spacing w:after="0" w:line="240" w:lineRule="auto"/>
        <w:jc w:val="both"/>
      </w:pPr>
      <w:r>
        <w:t>Assuming rational decision-making, the payoff diagram for CP is as follows:</w:t>
      </w:r>
    </w:p>
    <w:p w:rsidR="004312CC" w:rsidRDefault="004312CC" w:rsidP="00E3495C">
      <w:pPr>
        <w:tabs>
          <w:tab w:val="left" w:pos="2175"/>
        </w:tabs>
        <w:spacing w:after="0" w:line="240" w:lineRule="auto"/>
        <w:jc w:val="both"/>
      </w:pPr>
    </w:p>
    <w:p w:rsidR="004312CC" w:rsidRPr="004312CC" w:rsidRDefault="004312CC" w:rsidP="004312CC">
      <w:pPr>
        <w:tabs>
          <w:tab w:val="left" w:pos="2175"/>
        </w:tabs>
        <w:spacing w:after="0" w:line="240" w:lineRule="auto"/>
        <w:jc w:val="center"/>
      </w:pPr>
      <w:r>
        <w:rPr>
          <w:noProof/>
        </w:rPr>
        <w:drawing>
          <wp:inline distT="0" distB="0" distL="0" distR="0">
            <wp:extent cx="4547300" cy="23431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7300" cy="2343150"/>
                    </a:xfrm>
                    <a:prstGeom prst="rect">
                      <a:avLst/>
                    </a:prstGeom>
                    <a:noFill/>
                    <a:ln>
                      <a:noFill/>
                    </a:ln>
                  </pic:spPr>
                </pic:pic>
              </a:graphicData>
            </a:graphic>
          </wp:inline>
        </w:drawing>
      </w:r>
    </w:p>
    <w:p w:rsidR="004312CC" w:rsidRDefault="004312CC" w:rsidP="00E3495C">
      <w:pPr>
        <w:tabs>
          <w:tab w:val="left" w:pos="2175"/>
        </w:tabs>
        <w:spacing w:after="0" w:line="240" w:lineRule="auto"/>
        <w:jc w:val="both"/>
        <w:rPr>
          <w:b/>
          <w:i/>
        </w:rPr>
      </w:pPr>
    </w:p>
    <w:p w:rsidR="004312CC" w:rsidRDefault="004312CC" w:rsidP="00E3495C">
      <w:pPr>
        <w:tabs>
          <w:tab w:val="left" w:pos="2175"/>
        </w:tabs>
        <w:spacing w:after="0" w:line="240" w:lineRule="auto"/>
        <w:jc w:val="both"/>
      </w:pPr>
      <w:r>
        <w:t>Can you see the advantage of CP over either RP or common stock?</w:t>
      </w:r>
    </w:p>
    <w:p w:rsidR="004312CC" w:rsidRDefault="004312CC" w:rsidP="00E3495C">
      <w:pPr>
        <w:tabs>
          <w:tab w:val="left" w:pos="2175"/>
        </w:tabs>
        <w:spacing w:after="0" w:line="240" w:lineRule="auto"/>
        <w:jc w:val="both"/>
      </w:pPr>
    </w:p>
    <w:p w:rsidR="004312CC" w:rsidRDefault="004312CC" w:rsidP="00E3495C">
      <w:pPr>
        <w:tabs>
          <w:tab w:val="left" w:pos="2175"/>
        </w:tabs>
        <w:spacing w:after="0" w:line="240" w:lineRule="auto"/>
        <w:jc w:val="both"/>
      </w:pPr>
    </w:p>
    <w:p w:rsidR="004312CC" w:rsidRDefault="004312CC" w:rsidP="00E3495C">
      <w:pPr>
        <w:tabs>
          <w:tab w:val="left" w:pos="2175"/>
        </w:tabs>
        <w:spacing w:after="0" w:line="240" w:lineRule="auto"/>
        <w:jc w:val="both"/>
      </w:pPr>
    </w:p>
    <w:p w:rsidR="004312CC" w:rsidRPr="004312CC" w:rsidRDefault="004312CC" w:rsidP="00E3495C">
      <w:pPr>
        <w:tabs>
          <w:tab w:val="left" w:pos="2175"/>
        </w:tabs>
        <w:spacing w:after="0" w:line="240" w:lineRule="auto"/>
        <w:jc w:val="both"/>
      </w:pPr>
    </w:p>
    <w:p w:rsidR="004312CC" w:rsidRDefault="004312CC" w:rsidP="00E3495C">
      <w:pPr>
        <w:tabs>
          <w:tab w:val="left" w:pos="2175"/>
        </w:tabs>
        <w:spacing w:after="0" w:line="240" w:lineRule="auto"/>
        <w:jc w:val="both"/>
        <w:rPr>
          <w:b/>
          <w:i/>
        </w:rPr>
      </w:pPr>
    </w:p>
    <w:p w:rsidR="00815BDE" w:rsidRPr="00815BDE" w:rsidRDefault="00815BDE" w:rsidP="00E3495C">
      <w:pPr>
        <w:tabs>
          <w:tab w:val="left" w:pos="2175"/>
        </w:tabs>
        <w:spacing w:after="0" w:line="240" w:lineRule="auto"/>
        <w:jc w:val="both"/>
        <w:rPr>
          <w:b/>
          <w:i/>
        </w:rPr>
      </w:pPr>
      <w:r>
        <w:rPr>
          <w:b/>
          <w:i/>
        </w:rPr>
        <w:t>Participating Convertible Preferred (PCP)</w:t>
      </w:r>
      <w:r w:rsidR="004312CC">
        <w:rPr>
          <w:b/>
          <w:i/>
        </w:rPr>
        <w:t xml:space="preserve"> and </w:t>
      </w:r>
      <w:r w:rsidR="004312CC" w:rsidRPr="00815BDE">
        <w:rPr>
          <w:b/>
          <w:i/>
        </w:rPr>
        <w:t>Participating Convertible Preferred with Cap (PCPC)</w:t>
      </w: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r>
        <w:t>Participating convertible preferred (PCP) stock provides it</w:t>
      </w:r>
      <w:r w:rsidR="004312CC">
        <w:t>s</w:t>
      </w:r>
      <w:r>
        <w:t xml:space="preserve"> holder with a combination of the downside protection of RP and the upside potential of CP, with the caveat that the redeemable rights go away upon a qualified public offering.</w:t>
      </w:r>
    </w:p>
    <w:p w:rsidR="0037161C" w:rsidRDefault="0037161C" w:rsidP="00E3495C">
      <w:pPr>
        <w:tabs>
          <w:tab w:val="left" w:pos="2175"/>
        </w:tabs>
        <w:spacing w:after="0" w:line="240" w:lineRule="auto"/>
        <w:jc w:val="both"/>
      </w:pPr>
    </w:p>
    <w:p w:rsidR="00815BDE" w:rsidRDefault="00815BDE" w:rsidP="00E3495C">
      <w:pPr>
        <w:tabs>
          <w:tab w:val="left" w:pos="2175"/>
        </w:tabs>
        <w:spacing w:after="0" w:line="240" w:lineRule="auto"/>
        <w:jc w:val="both"/>
      </w:pPr>
      <w:r>
        <w:lastRenderedPageBreak/>
        <w:t>Sometimes the liquidation return to PCP is capped at some preset multiple of the purchase price: such securities are referred to as participating convertible preferred with cap (PCPC) stock.</w:t>
      </w: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r>
        <w:rPr>
          <w:b/>
        </w:rPr>
        <w:t>ANTI-DILUTION PROVISIONS</w:t>
      </w:r>
    </w:p>
    <w:p w:rsidR="00815BDE" w:rsidRDefault="00815BDE" w:rsidP="00E3495C">
      <w:pPr>
        <w:tabs>
          <w:tab w:val="left" w:pos="2175"/>
        </w:tabs>
        <w:spacing w:after="0" w:line="240" w:lineRule="auto"/>
        <w:jc w:val="both"/>
      </w:pPr>
    </w:p>
    <w:p w:rsidR="00815BDE" w:rsidRDefault="0037161C" w:rsidP="00E3495C">
      <w:pPr>
        <w:tabs>
          <w:tab w:val="left" w:pos="2175"/>
        </w:tabs>
        <w:spacing w:after="0" w:line="240" w:lineRule="auto"/>
        <w:jc w:val="both"/>
      </w:pPr>
      <w:r>
        <w:t>Regardless of the precise securities utilized, VC investors typically</w:t>
      </w:r>
      <w:r w:rsidR="00815BDE">
        <w:t xml:space="preserve"> </w:t>
      </w:r>
      <w:r>
        <w:t>demand anti-dilution protection.  How and why?</w:t>
      </w: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r>
        <w:t>Under what conditions do such protections generally apply?</w:t>
      </w: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p>
    <w:p w:rsidR="00815BDE" w:rsidRDefault="00815BDE" w:rsidP="00E3495C">
      <w:pPr>
        <w:tabs>
          <w:tab w:val="left" w:pos="2175"/>
        </w:tabs>
        <w:spacing w:after="0" w:line="240" w:lineRule="auto"/>
        <w:jc w:val="both"/>
      </w:pPr>
    </w:p>
    <w:p w:rsidR="00815BDE" w:rsidRPr="00815BDE" w:rsidRDefault="00815BDE" w:rsidP="00E3495C">
      <w:pPr>
        <w:tabs>
          <w:tab w:val="left" w:pos="2175"/>
        </w:tabs>
        <w:spacing w:after="0" w:line="240" w:lineRule="auto"/>
        <w:jc w:val="both"/>
      </w:pPr>
      <w:r>
        <w:t>Is it easy to exercise such rights under normal circumstances when they would apply?</w:t>
      </w:r>
    </w:p>
    <w:p w:rsidR="002D77A0" w:rsidRDefault="002D77A0" w:rsidP="00E3495C">
      <w:pPr>
        <w:tabs>
          <w:tab w:val="left" w:pos="2175"/>
        </w:tabs>
        <w:spacing w:after="0" w:line="240" w:lineRule="auto"/>
        <w:jc w:val="both"/>
      </w:pPr>
    </w:p>
    <w:p w:rsidR="002D77A0" w:rsidRDefault="002D77A0" w:rsidP="00E3495C">
      <w:pPr>
        <w:tabs>
          <w:tab w:val="left" w:pos="2175"/>
        </w:tabs>
        <w:spacing w:after="0" w:line="240" w:lineRule="auto"/>
        <w:jc w:val="both"/>
      </w:pPr>
    </w:p>
    <w:p w:rsidR="00966C3A" w:rsidRDefault="00966C3A" w:rsidP="00E3495C">
      <w:pPr>
        <w:tabs>
          <w:tab w:val="left" w:pos="2175"/>
        </w:tabs>
        <w:spacing w:after="0" w:line="240" w:lineRule="auto"/>
        <w:jc w:val="both"/>
      </w:pPr>
    </w:p>
    <w:p w:rsidR="00966C3A" w:rsidRDefault="00966C3A" w:rsidP="00E3495C">
      <w:pPr>
        <w:tabs>
          <w:tab w:val="left" w:pos="2175"/>
        </w:tabs>
        <w:spacing w:after="0" w:line="240" w:lineRule="auto"/>
        <w:jc w:val="both"/>
      </w:pPr>
    </w:p>
    <w:p w:rsidR="00966C3A" w:rsidRDefault="00966C3A" w:rsidP="00E3495C">
      <w:pPr>
        <w:tabs>
          <w:tab w:val="left" w:pos="2175"/>
        </w:tabs>
        <w:spacing w:after="0" w:line="240" w:lineRule="auto"/>
        <w:jc w:val="both"/>
      </w:pPr>
    </w:p>
    <w:p w:rsidR="00966C3A" w:rsidRDefault="00966C3A" w:rsidP="00E3495C">
      <w:pPr>
        <w:tabs>
          <w:tab w:val="left" w:pos="2175"/>
        </w:tabs>
        <w:spacing w:after="0" w:line="240" w:lineRule="auto"/>
        <w:jc w:val="both"/>
        <w:rPr>
          <w:b/>
        </w:rPr>
      </w:pPr>
      <w:r>
        <w:rPr>
          <w:b/>
        </w:rPr>
        <w:t>CONCLUSIONS</w:t>
      </w:r>
    </w:p>
    <w:p w:rsidR="00966C3A" w:rsidRDefault="00966C3A" w:rsidP="00E3495C">
      <w:pPr>
        <w:tabs>
          <w:tab w:val="left" w:pos="2175"/>
        </w:tabs>
        <w:spacing w:after="0" w:line="240" w:lineRule="auto"/>
        <w:jc w:val="both"/>
        <w:rPr>
          <w:b/>
        </w:rPr>
      </w:pPr>
    </w:p>
    <w:p w:rsidR="00966C3A" w:rsidRPr="0037161C" w:rsidRDefault="0037161C" w:rsidP="00E3495C">
      <w:pPr>
        <w:tabs>
          <w:tab w:val="left" w:pos="2175"/>
        </w:tabs>
        <w:spacing w:after="0" w:line="240" w:lineRule="auto"/>
        <w:jc w:val="both"/>
      </w:pPr>
      <w:r>
        <w:t xml:space="preserve">Financial innovation has provided the market with a rich array of securities available to potential investors.  These securities are not all the same—and some are much more complicated than others.  For a more detailed look, consider taking a deeper dive into Chapter 9 of </w:t>
      </w:r>
      <w:r>
        <w:rPr>
          <w:i/>
        </w:rPr>
        <w:t>Venture Capital &amp; the Finance of Innovation</w:t>
      </w:r>
      <w:r>
        <w:t>.</w:t>
      </w:r>
    </w:p>
    <w:sectPr w:rsidR="00966C3A" w:rsidRPr="0037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E7B8C"/>
    <w:multiLevelType w:val="hybridMultilevel"/>
    <w:tmpl w:val="0E78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F48BD"/>
    <w:multiLevelType w:val="hybridMultilevel"/>
    <w:tmpl w:val="28C0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7845E1"/>
    <w:multiLevelType w:val="hybridMultilevel"/>
    <w:tmpl w:val="F742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DE"/>
    <w:rsid w:val="000015DC"/>
    <w:rsid w:val="00006C75"/>
    <w:rsid w:val="00006E20"/>
    <w:rsid w:val="000A0499"/>
    <w:rsid w:val="000C29DA"/>
    <w:rsid w:val="000E1421"/>
    <w:rsid w:val="000E5222"/>
    <w:rsid w:val="000F287E"/>
    <w:rsid w:val="001062A9"/>
    <w:rsid w:val="00137D51"/>
    <w:rsid w:val="001430AD"/>
    <w:rsid w:val="001A103D"/>
    <w:rsid w:val="001A3A09"/>
    <w:rsid w:val="001B6AEA"/>
    <w:rsid w:val="001D56C8"/>
    <w:rsid w:val="00200D23"/>
    <w:rsid w:val="00202D6D"/>
    <w:rsid w:val="00216CB1"/>
    <w:rsid w:val="002932E1"/>
    <w:rsid w:val="0029527A"/>
    <w:rsid w:val="002B1CE6"/>
    <w:rsid w:val="002C5702"/>
    <w:rsid w:val="002C6C9E"/>
    <w:rsid w:val="002C75B4"/>
    <w:rsid w:val="002D77A0"/>
    <w:rsid w:val="002E2389"/>
    <w:rsid w:val="003117D9"/>
    <w:rsid w:val="0037161C"/>
    <w:rsid w:val="003745DB"/>
    <w:rsid w:val="00375A0F"/>
    <w:rsid w:val="003920DF"/>
    <w:rsid w:val="003D5683"/>
    <w:rsid w:val="004312CC"/>
    <w:rsid w:val="004465F1"/>
    <w:rsid w:val="00484865"/>
    <w:rsid w:val="00484C3D"/>
    <w:rsid w:val="004C0F9C"/>
    <w:rsid w:val="00506444"/>
    <w:rsid w:val="0050790D"/>
    <w:rsid w:val="00531C4C"/>
    <w:rsid w:val="005575E4"/>
    <w:rsid w:val="00580C32"/>
    <w:rsid w:val="005A51F2"/>
    <w:rsid w:val="005B6C79"/>
    <w:rsid w:val="005D5D39"/>
    <w:rsid w:val="006373C5"/>
    <w:rsid w:val="00694069"/>
    <w:rsid w:val="006B0D9C"/>
    <w:rsid w:val="006B1F28"/>
    <w:rsid w:val="00714774"/>
    <w:rsid w:val="007456C8"/>
    <w:rsid w:val="007C07CC"/>
    <w:rsid w:val="007C6A6A"/>
    <w:rsid w:val="007F5F9A"/>
    <w:rsid w:val="00815BDE"/>
    <w:rsid w:val="00844629"/>
    <w:rsid w:val="0086221E"/>
    <w:rsid w:val="008A13E5"/>
    <w:rsid w:val="008A3944"/>
    <w:rsid w:val="008A74E3"/>
    <w:rsid w:val="008B4057"/>
    <w:rsid w:val="008C7A71"/>
    <w:rsid w:val="008E1D79"/>
    <w:rsid w:val="009008CA"/>
    <w:rsid w:val="009047BE"/>
    <w:rsid w:val="0090784C"/>
    <w:rsid w:val="009114DE"/>
    <w:rsid w:val="0091634F"/>
    <w:rsid w:val="00920F07"/>
    <w:rsid w:val="00934066"/>
    <w:rsid w:val="00937563"/>
    <w:rsid w:val="009375D6"/>
    <w:rsid w:val="00966C3A"/>
    <w:rsid w:val="009674C5"/>
    <w:rsid w:val="00985917"/>
    <w:rsid w:val="009916E0"/>
    <w:rsid w:val="009A0BE8"/>
    <w:rsid w:val="009B3D2E"/>
    <w:rsid w:val="009C69D5"/>
    <w:rsid w:val="00A2661A"/>
    <w:rsid w:val="00A80B16"/>
    <w:rsid w:val="00A95C54"/>
    <w:rsid w:val="00AC06BC"/>
    <w:rsid w:val="00AC5D3C"/>
    <w:rsid w:val="00AF2859"/>
    <w:rsid w:val="00B0231B"/>
    <w:rsid w:val="00B350E4"/>
    <w:rsid w:val="00BC0531"/>
    <w:rsid w:val="00BC71BF"/>
    <w:rsid w:val="00C26564"/>
    <w:rsid w:val="00C27183"/>
    <w:rsid w:val="00C32FDB"/>
    <w:rsid w:val="00C42C7E"/>
    <w:rsid w:val="00C7648B"/>
    <w:rsid w:val="00D243CA"/>
    <w:rsid w:val="00D3546B"/>
    <w:rsid w:val="00DE14EB"/>
    <w:rsid w:val="00E040C2"/>
    <w:rsid w:val="00E3495C"/>
    <w:rsid w:val="00E451FD"/>
    <w:rsid w:val="00EE29A5"/>
    <w:rsid w:val="00EF12E2"/>
    <w:rsid w:val="00F0247F"/>
    <w:rsid w:val="00F029E3"/>
    <w:rsid w:val="00F144B5"/>
    <w:rsid w:val="00F27003"/>
    <w:rsid w:val="00F80667"/>
    <w:rsid w:val="00FC6B14"/>
    <w:rsid w:val="00FF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59"/>
    <w:pPr>
      <w:ind w:left="720"/>
      <w:contextualSpacing/>
    </w:pPr>
  </w:style>
  <w:style w:type="paragraph" w:styleId="BalloonText">
    <w:name w:val="Balloon Text"/>
    <w:basedOn w:val="Normal"/>
    <w:link w:val="BalloonTextChar"/>
    <w:uiPriority w:val="99"/>
    <w:semiHidden/>
    <w:unhideWhenUsed/>
    <w:rsid w:val="00907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8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59"/>
    <w:pPr>
      <w:ind w:left="720"/>
      <w:contextualSpacing/>
    </w:pPr>
  </w:style>
  <w:style w:type="paragraph" w:styleId="BalloonText">
    <w:name w:val="Balloon Text"/>
    <w:basedOn w:val="Normal"/>
    <w:link w:val="BalloonTextChar"/>
    <w:uiPriority w:val="99"/>
    <w:semiHidden/>
    <w:unhideWhenUsed/>
    <w:rsid w:val="00907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8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2018-12-19T04:13:00Z</dcterms:created>
  <dcterms:modified xsi:type="dcterms:W3CDTF">2018-12-19T04:13:00Z</dcterms:modified>
</cp:coreProperties>
</file>