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CC" w:rsidRDefault="00077B09" w:rsidP="00370245">
      <w:pPr>
        <w:spacing w:after="0" w:line="240" w:lineRule="auto"/>
        <w:jc w:val="center"/>
      </w:pPr>
      <w:bookmarkStart w:id="0" w:name="_GoBack"/>
      <w:bookmarkEnd w:id="0"/>
      <w:r>
        <w:t>Exploratory Note 25</w:t>
      </w:r>
    </w:p>
    <w:p w:rsidR="00A936CC" w:rsidRPr="009B4A88" w:rsidRDefault="00077B09" w:rsidP="00370245">
      <w:pPr>
        <w:spacing w:after="0" w:line="240" w:lineRule="auto"/>
        <w:jc w:val="center"/>
      </w:pPr>
      <w:r>
        <w:t>Capital Budgeting Decision Making Tools</w:t>
      </w:r>
    </w:p>
    <w:p w:rsidR="00A936CC" w:rsidRDefault="00A936CC" w:rsidP="00370245">
      <w:pPr>
        <w:spacing w:after="0" w:line="240" w:lineRule="auto"/>
        <w:jc w:val="both"/>
        <w:rPr>
          <w:b/>
        </w:rPr>
      </w:pPr>
    </w:p>
    <w:p w:rsidR="00A936CC" w:rsidRDefault="00A936CC" w:rsidP="00370245">
      <w:pPr>
        <w:spacing w:after="0" w:line="240" w:lineRule="auto"/>
        <w:jc w:val="both"/>
        <w:rPr>
          <w:b/>
        </w:rPr>
      </w:pPr>
      <w:r>
        <w:rPr>
          <w:b/>
        </w:rPr>
        <w:t>INTRODUCTION</w:t>
      </w:r>
    </w:p>
    <w:p w:rsidR="00A936CC" w:rsidRDefault="00A936CC" w:rsidP="00370245">
      <w:pPr>
        <w:spacing w:after="0" w:line="240" w:lineRule="auto"/>
        <w:jc w:val="both"/>
        <w:rPr>
          <w:b/>
        </w:rPr>
      </w:pPr>
    </w:p>
    <w:p w:rsidR="006B5D1E" w:rsidRDefault="006B5D1E" w:rsidP="006B5D1E">
      <w:pPr>
        <w:spacing w:after="0" w:line="240" w:lineRule="auto"/>
        <w:jc w:val="both"/>
      </w:pPr>
      <w:r>
        <w:t>Entrepreneurs and financial managers have an array of tools available to assist in making optimal capital budgeting decisions. One of these tools, net present value (NPV), is theor</w:t>
      </w:r>
      <w:r w:rsidR="009C015F">
        <w:t>etically superior to the others, but practitioners frequently</w:t>
      </w:r>
      <w:r>
        <w:t xml:space="preserve"> use a</w:t>
      </w:r>
      <w:r w:rsidR="009C015F">
        <w:t xml:space="preserve">lternatives like </w:t>
      </w:r>
      <w:r>
        <w:t>intern</w:t>
      </w:r>
      <w:r w:rsidR="009C015F">
        <w:t xml:space="preserve">al rate of return (IRR) and payback period.  These three tools—with a heavy emphasis on both their strengths and weaknesses—are the subject of this second exploratory note of the evening.  </w:t>
      </w:r>
    </w:p>
    <w:p w:rsidR="006B5D1E" w:rsidRDefault="006B5D1E" w:rsidP="00370245">
      <w:pPr>
        <w:spacing w:after="0" w:line="240" w:lineRule="auto"/>
        <w:jc w:val="both"/>
        <w:rPr>
          <w:b/>
        </w:rPr>
      </w:pPr>
    </w:p>
    <w:p w:rsidR="009F26DF" w:rsidRPr="00617D06" w:rsidRDefault="00617D06" w:rsidP="00370245">
      <w:pPr>
        <w:spacing w:after="0" w:line="240" w:lineRule="auto"/>
        <w:jc w:val="both"/>
        <w:rPr>
          <w:b/>
        </w:rPr>
      </w:pPr>
      <w:r w:rsidRPr="00617D06">
        <w:rPr>
          <w:b/>
        </w:rPr>
        <w:t>NET PRESENT VALUE</w:t>
      </w:r>
    </w:p>
    <w:p w:rsidR="00617D06" w:rsidRDefault="00617D06" w:rsidP="00370245">
      <w:pPr>
        <w:spacing w:after="0" w:line="240" w:lineRule="auto"/>
        <w:jc w:val="both"/>
        <w:rPr>
          <w:b/>
        </w:rPr>
      </w:pPr>
    </w:p>
    <w:p w:rsidR="00A47902" w:rsidRDefault="00617D06" w:rsidP="00A47902">
      <w:pPr>
        <w:spacing w:after="0" w:line="240" w:lineRule="auto"/>
        <w:jc w:val="both"/>
      </w:pPr>
      <w:r>
        <w:t>T</w:t>
      </w:r>
      <w:r w:rsidR="00A47902">
        <w:t>he dominant approach, from a textbook standpoint, to capital budge</w:t>
      </w:r>
      <w:r>
        <w:t>ting is net present value (NPV).  The formula is as follows:</w:t>
      </w:r>
    </w:p>
    <w:p w:rsidR="00A47902" w:rsidRDefault="009D1EDC" w:rsidP="00A47902">
      <w:pPr>
        <w:spacing w:after="0" w:line="240" w:lineRule="auto"/>
        <w:jc w:val="both"/>
        <w:rPr>
          <w:b/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3" o:spid="_x0000_s1026" type="#_x0000_t75" style="position:absolute;left:0;text-align:left;margin-left:187.5pt;margin-top:7.45pt;width:92pt;height:39.1pt;z-index:251658240;visibility:visible">
            <v:imagedata r:id="rId6" o:title=""/>
          </v:shape>
          <o:OLEObject Type="Embed" ProgID="Equation.3" ShapeID="Object 13" DrawAspect="Content" ObjectID="_1606680176" r:id="rId7"/>
        </w:pic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617D06" w:rsidRDefault="00A47902" w:rsidP="00A47902">
      <w:pPr>
        <w:spacing w:after="0" w:line="240" w:lineRule="auto"/>
        <w:jc w:val="both"/>
      </w:pPr>
      <w:r>
        <w:t xml:space="preserve">What </w:t>
      </w:r>
      <w:r w:rsidR="00617D06">
        <w:t>are the inputs?</w:t>
      </w: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A47902" w:rsidRDefault="00617D06" w:rsidP="00A47902">
      <w:pPr>
        <w:spacing w:after="0" w:line="240" w:lineRule="auto"/>
        <w:jc w:val="both"/>
      </w:pPr>
      <w:r>
        <w:t xml:space="preserve">What </w:t>
      </w:r>
      <w:r w:rsidR="00A47902">
        <w:t>is the logic behind the NPV approach to capital budgeting?  What is the decision rule?</w: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  <w:r>
        <w:t>For those who are not as familiar with the time value of money, why are the future cash flows discount</w:t>
      </w:r>
      <w:r w:rsidR="009C015F">
        <w:t xml:space="preserve">ed?  </w:t>
      </w:r>
      <w:r>
        <w:t>In practice, what would the discount rate typically be for a project of average risk?</w:t>
      </w: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  <w:r>
        <w:t xml:space="preserve">What about for a project with above-average risk?  </w:t>
      </w:r>
      <w:proofErr w:type="gramStart"/>
      <w:r>
        <w:t>For a project with below-average risk?</w:t>
      </w:r>
      <w:proofErr w:type="gramEnd"/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A47902">
      <w:pPr>
        <w:spacing w:after="0" w:line="240" w:lineRule="auto"/>
        <w:jc w:val="both"/>
      </w:pPr>
    </w:p>
    <w:p w:rsidR="00A47902" w:rsidRDefault="009C015F" w:rsidP="00A47902">
      <w:pPr>
        <w:spacing w:after="0" w:line="240" w:lineRule="auto"/>
        <w:jc w:val="both"/>
      </w:pPr>
      <w:r>
        <w:t xml:space="preserve">What are the strengths of NPV?  </w:t>
      </w:r>
      <w:r w:rsidR="00A47902">
        <w:t>Does it meet all of the necessary criteria of a sound capital budgeting decision making tool?</w:t>
      </w:r>
      <w:r w:rsidR="00617D06">
        <w:t xml:space="preserve">  These criteria include:</w:t>
      </w:r>
    </w:p>
    <w:p w:rsidR="00617D06" w:rsidRDefault="00617D06" w:rsidP="00A47902">
      <w:pPr>
        <w:spacing w:after="0" w:line="240" w:lineRule="auto"/>
        <w:jc w:val="both"/>
      </w:pPr>
    </w:p>
    <w:p w:rsidR="00617D06" w:rsidRDefault="00617D06" w:rsidP="00617D06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lastRenderedPageBreak/>
        <w:t>The time value of money is taken into consideration</w:t>
      </w:r>
    </w:p>
    <w:p w:rsidR="00617D06" w:rsidRDefault="00617D06" w:rsidP="00617D06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All cash fl</w:t>
      </w:r>
      <w:r w:rsidR="00E4548B">
        <w:t>ows are taken into consideration</w:t>
      </w:r>
    </w:p>
    <w:p w:rsidR="00617D06" w:rsidRDefault="00E4548B" w:rsidP="00617D06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Cash-flows are risk-adjusted</w:t>
      </w:r>
    </w:p>
    <w:p w:rsidR="00E4548B" w:rsidRDefault="00E4548B" w:rsidP="00617D06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Projects can be objectively ranked</w:t>
      </w:r>
    </w:p>
    <w:p w:rsidR="00A47902" w:rsidRDefault="00E4548B" w:rsidP="00A4790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Indicates added value to the firm</w:t>
      </w:r>
    </w:p>
    <w:p w:rsidR="00A47902" w:rsidRDefault="00A47902" w:rsidP="00A47902">
      <w:pPr>
        <w:spacing w:after="0" w:line="240" w:lineRule="auto"/>
        <w:jc w:val="both"/>
      </w:pPr>
    </w:p>
    <w:p w:rsidR="009C015F" w:rsidRDefault="009C015F" w:rsidP="009C015F">
      <w:pPr>
        <w:spacing w:after="0" w:line="240" w:lineRule="auto"/>
        <w:jc w:val="both"/>
      </w:pPr>
      <w:r>
        <w:t>Though NPV is theoretically sound, does it have any weaknesses when it comes to practice?</w:t>
      </w:r>
    </w:p>
    <w:p w:rsidR="009C015F" w:rsidRDefault="009C015F" w:rsidP="00A47902">
      <w:pPr>
        <w:spacing w:after="0" w:line="240" w:lineRule="auto"/>
        <w:jc w:val="both"/>
      </w:pPr>
    </w:p>
    <w:p w:rsidR="009C015F" w:rsidRDefault="009C015F" w:rsidP="00A47902">
      <w:pPr>
        <w:spacing w:after="0" w:line="240" w:lineRule="auto"/>
        <w:jc w:val="both"/>
      </w:pPr>
    </w:p>
    <w:p w:rsidR="009C015F" w:rsidRDefault="009C015F" w:rsidP="00A47902">
      <w:pPr>
        <w:spacing w:after="0" w:line="240" w:lineRule="auto"/>
        <w:jc w:val="both"/>
      </w:pPr>
    </w:p>
    <w:p w:rsidR="009C015F" w:rsidRDefault="009C015F" w:rsidP="00A47902">
      <w:pPr>
        <w:spacing w:after="0" w:line="240" w:lineRule="auto"/>
        <w:jc w:val="both"/>
      </w:pPr>
    </w:p>
    <w:p w:rsidR="009C015F" w:rsidRDefault="009C015F" w:rsidP="00A47902">
      <w:pPr>
        <w:spacing w:after="0" w:line="240" w:lineRule="auto"/>
        <w:jc w:val="both"/>
      </w:pPr>
    </w:p>
    <w:p w:rsidR="00DD6E42" w:rsidRDefault="00DD6E42" w:rsidP="00DD6E42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A Basic Corporate Investment Example – Software Development</w:t>
      </w:r>
    </w:p>
    <w:p w:rsidR="00DD6E42" w:rsidRDefault="00DD6E42" w:rsidP="00DD6E42">
      <w:pPr>
        <w:spacing w:after="0" w:line="240" w:lineRule="auto"/>
        <w:jc w:val="both"/>
        <w:rPr>
          <w:b/>
          <w:i/>
        </w:rPr>
      </w:pPr>
    </w:p>
    <w:p w:rsidR="00DD6E42" w:rsidRDefault="00DD6E42" w:rsidP="00DD6E42">
      <w:pPr>
        <w:spacing w:after="0" w:line="240" w:lineRule="auto"/>
        <w:jc w:val="both"/>
      </w:pPr>
      <w:r>
        <w:t>A firm is thinking about developing a new piece of software which will facilitate portfolio rebalancing for RIAs, FOs/MFOs, and other wealth managers.  Development of the software will cost $1,000,000 (assume that this cost occurs at time 0).  If the software is expected to generate $300,000 worth of free cash flow for the firm in each of the next four years before becoming obsolete, would this be a good project for the firm to pursue if it requires a 13% return?  Calculate NPV.</w:t>
      </w:r>
    </w:p>
    <w:p w:rsidR="00DD6E42" w:rsidRDefault="00DD6E42" w:rsidP="00DD6E42">
      <w:pPr>
        <w:spacing w:after="0" w:line="240" w:lineRule="auto"/>
        <w:jc w:val="both"/>
      </w:pPr>
    </w:p>
    <w:p w:rsidR="00DD6E42" w:rsidRDefault="00DD6E42" w:rsidP="00DD6E42">
      <w:pPr>
        <w:spacing w:after="0" w:line="240" w:lineRule="auto"/>
        <w:jc w:val="both"/>
      </w:pPr>
    </w:p>
    <w:p w:rsidR="00DD6E42" w:rsidRDefault="00DD6E42" w:rsidP="00DD6E42">
      <w:pPr>
        <w:spacing w:after="0" w:line="240" w:lineRule="auto"/>
        <w:jc w:val="both"/>
      </w:pPr>
    </w:p>
    <w:p w:rsidR="00DD6E42" w:rsidRDefault="00DD6E42" w:rsidP="00DD6E42">
      <w:pPr>
        <w:spacing w:after="0" w:line="240" w:lineRule="auto"/>
        <w:jc w:val="both"/>
      </w:pPr>
    </w:p>
    <w:p w:rsidR="00DD6E42" w:rsidRDefault="00DD6E42" w:rsidP="00DD6E42">
      <w:pPr>
        <w:spacing w:after="0" w:line="240" w:lineRule="auto"/>
        <w:jc w:val="both"/>
      </w:pPr>
    </w:p>
    <w:p w:rsidR="00DD6E42" w:rsidRDefault="00DD6E42" w:rsidP="00DD6E42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A More Complex Corporate Investment – An Acquisition</w:t>
      </w:r>
    </w:p>
    <w:p w:rsidR="00DD6E42" w:rsidRDefault="00DD6E42" w:rsidP="00DD6E42">
      <w:pPr>
        <w:spacing w:after="0" w:line="240" w:lineRule="auto"/>
        <w:jc w:val="both"/>
        <w:rPr>
          <w:b/>
          <w:i/>
        </w:rPr>
      </w:pPr>
    </w:p>
    <w:p w:rsidR="00DD6E42" w:rsidRDefault="00DD6E42" w:rsidP="00DD6E42">
      <w:pPr>
        <w:spacing w:after="0" w:line="240" w:lineRule="auto"/>
        <w:jc w:val="both"/>
      </w:pPr>
      <w:r>
        <w:t>A firm is contemplating acquiring another company in a related but different business.  The firm can be acquired for $7,500,000.  The cash flow expected to be generated by the firm in the first year after the acquisition is $1,000,000.  In the second year, it is expected that this amount will double.  In the third year, cash flow growth is expected to drop to 4%.  This growth rate is expected to continue for the foreseeable future.  Should the firm make the acquisition if its cost of capital (required return in this setting) is 11%?  Calculate NPV.</w:t>
      </w: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A47902" w:rsidRPr="00804726" w:rsidRDefault="00B610BD" w:rsidP="00A47902">
      <w:pPr>
        <w:spacing w:after="0" w:line="240" w:lineRule="auto"/>
        <w:jc w:val="both"/>
        <w:rPr>
          <w:b/>
        </w:rPr>
      </w:pPr>
      <w:r>
        <w:rPr>
          <w:b/>
        </w:rPr>
        <w:t xml:space="preserve">ALTERNATIVE EVALUATION TECHNIQUES – </w:t>
      </w:r>
      <w:r w:rsidR="00A47902">
        <w:rPr>
          <w:b/>
        </w:rPr>
        <w:t>IR</w:t>
      </w:r>
      <w:r>
        <w:rPr>
          <w:b/>
        </w:rPr>
        <w:t>R</w:t>
      </w:r>
      <w:r w:rsidR="00A47902">
        <w:rPr>
          <w:b/>
        </w:rPr>
        <w:t xml:space="preserve"> AND PAYBACK</w: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B610BD" w:rsidP="00A47902">
      <w:pPr>
        <w:spacing w:after="0" w:line="240" w:lineRule="auto"/>
        <w:jc w:val="both"/>
      </w:pPr>
      <w:r>
        <w:t>Though there are quite a few different tools traditionally utilized in capital budgeting settings, two significant alternativ</w:t>
      </w:r>
      <w:r w:rsidR="009C015F">
        <w:t>es to NPV exist</w:t>
      </w:r>
      <w:r>
        <w:t>: internal rate of return (IRR) and payback period.</w: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Internal Rate of Return (IRR)</w:t>
      </w:r>
    </w:p>
    <w:p w:rsidR="00A47902" w:rsidRDefault="00A47902" w:rsidP="00A47902">
      <w:pPr>
        <w:spacing w:after="0" w:line="240" w:lineRule="auto"/>
        <w:jc w:val="both"/>
        <w:rPr>
          <w:b/>
          <w:i/>
        </w:rPr>
      </w:pPr>
    </w:p>
    <w:p w:rsidR="00A47902" w:rsidRPr="003946A5" w:rsidRDefault="00A47902" w:rsidP="00A47902">
      <w:pPr>
        <w:spacing w:after="0" w:line="240" w:lineRule="auto"/>
        <w:jc w:val="both"/>
      </w:pPr>
      <w:r>
        <w:t>Th</w:t>
      </w:r>
      <w:r w:rsidR="00B610BD">
        <w:t>ough NPV is dominant from a textbook point of view, the dominant approach from an applied standpoint</w:t>
      </w:r>
      <w:r>
        <w:t xml:space="preserve"> is the internal rate of return (IRR):</w:t>
      </w:r>
    </w:p>
    <w:p w:rsidR="00A47902" w:rsidRDefault="009D1EDC" w:rsidP="00A47902">
      <w:pPr>
        <w:spacing w:after="0" w:line="240" w:lineRule="auto"/>
        <w:jc w:val="both"/>
      </w:pPr>
      <w:r>
        <w:rPr>
          <w:noProof/>
        </w:rPr>
        <w:lastRenderedPageBreak/>
        <w:pict>
          <v:shape id="Object 27" o:spid="_x0000_s1028" type="#_x0000_t75" style="position:absolute;left:0;text-align:left;margin-left:195pt;margin-top:-9.2pt;width:84pt;height:34pt;z-index:251661312;visibility:visible">
            <v:imagedata r:id="rId8" o:title=""/>
          </v:shape>
          <o:OLEObject Type="Embed" ProgID="Equation.3" ShapeID="Object 27" DrawAspect="Content" ObjectID="_1606680177" r:id="rId9"/>
        </w:pic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B610BD" w:rsidP="00A47902">
      <w:pPr>
        <w:spacing w:after="0" w:line="240" w:lineRule="auto"/>
        <w:jc w:val="both"/>
      </w:pPr>
      <w:r>
        <w:t>What are the variables?</w:t>
      </w:r>
    </w:p>
    <w:p w:rsidR="00B610BD" w:rsidRDefault="00B610BD" w:rsidP="00A47902">
      <w:pPr>
        <w:spacing w:after="0" w:line="240" w:lineRule="auto"/>
        <w:jc w:val="both"/>
      </w:pPr>
    </w:p>
    <w:p w:rsidR="00B610BD" w:rsidRDefault="00B610BD" w:rsidP="00A47902">
      <w:pPr>
        <w:spacing w:after="0" w:line="240" w:lineRule="auto"/>
        <w:jc w:val="both"/>
      </w:pPr>
    </w:p>
    <w:p w:rsidR="00B610BD" w:rsidRDefault="00B610BD" w:rsidP="00A47902">
      <w:pPr>
        <w:spacing w:after="0" w:line="240" w:lineRule="auto"/>
        <w:jc w:val="both"/>
      </w:pPr>
    </w:p>
    <w:p w:rsidR="00B610BD" w:rsidRDefault="00B610BD" w:rsidP="00A47902">
      <w:pPr>
        <w:spacing w:after="0" w:line="240" w:lineRule="auto"/>
        <w:jc w:val="both"/>
      </w:pPr>
    </w:p>
    <w:p w:rsidR="00B610BD" w:rsidRDefault="00B610BD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  <w:r>
        <w:t>What is the logic behind the IRR approach to capital budgeting?  What is the decision rule?</w: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B610BD" w:rsidRDefault="00B610BD" w:rsidP="00B610B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8342D5E">
            <wp:extent cx="4071486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610BD" w:rsidRDefault="00B610BD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  <w:r>
        <w:t>What are the strengths of IRR?</w:t>
      </w:r>
      <w:r w:rsidR="009C015F">
        <w:t xml:space="preserve">  Does it meet all five criteria laid out previously?</w: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B610BD" w:rsidP="00A47902">
      <w:pPr>
        <w:spacing w:after="0" w:line="240" w:lineRule="auto"/>
        <w:jc w:val="both"/>
      </w:pPr>
      <w:r>
        <w:t>Strengths aside, IRR has some significant weaknesses.  For instance, it can yield multiple answers due to Descarte</w:t>
      </w:r>
      <w:r w:rsidR="00816F4E">
        <w:t>s’ Rule of Signs—thereby making it difficult or impossible to interpret.</w:t>
      </w:r>
    </w:p>
    <w:p w:rsidR="00B610BD" w:rsidRDefault="00B610BD" w:rsidP="00A47902">
      <w:pPr>
        <w:spacing w:after="0" w:line="240" w:lineRule="auto"/>
        <w:jc w:val="both"/>
      </w:pPr>
    </w:p>
    <w:p w:rsidR="00B610BD" w:rsidRDefault="00B610BD" w:rsidP="00A47902">
      <w:pPr>
        <w:spacing w:after="0" w:line="240" w:lineRule="auto"/>
        <w:jc w:val="both"/>
      </w:pPr>
    </w:p>
    <w:p w:rsidR="00B610BD" w:rsidRDefault="00B610BD" w:rsidP="00A47902">
      <w:pPr>
        <w:spacing w:after="0" w:line="240" w:lineRule="auto"/>
        <w:jc w:val="both"/>
      </w:pPr>
    </w:p>
    <w:p w:rsidR="00B610BD" w:rsidRDefault="00B610BD" w:rsidP="00A47902">
      <w:pPr>
        <w:spacing w:after="0" w:line="240" w:lineRule="auto"/>
        <w:jc w:val="both"/>
      </w:pPr>
    </w:p>
    <w:p w:rsidR="00B610BD" w:rsidRDefault="00B610BD" w:rsidP="00A47902">
      <w:pPr>
        <w:spacing w:after="0" w:line="240" w:lineRule="auto"/>
        <w:jc w:val="both"/>
      </w:pPr>
    </w:p>
    <w:p w:rsidR="00B610BD" w:rsidRDefault="00B610BD" w:rsidP="00816F4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846121B">
            <wp:extent cx="3724978" cy="204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21" cy="204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47902" w:rsidRDefault="00A47902" w:rsidP="00A47902">
      <w:pPr>
        <w:spacing w:after="0" w:line="240" w:lineRule="auto"/>
        <w:jc w:val="both"/>
      </w:pPr>
    </w:p>
    <w:p w:rsidR="00A47902" w:rsidRDefault="00816F4E" w:rsidP="00A47902">
      <w:pPr>
        <w:spacing w:after="0" w:line="240" w:lineRule="auto"/>
        <w:jc w:val="both"/>
      </w:pPr>
      <w:r>
        <w:t>Further, IRR can mislead us when it comes to mutually exclusive projects that have either different timeframes or different initial investment requirements:</w:t>
      </w:r>
    </w:p>
    <w:p w:rsidR="00816F4E" w:rsidRDefault="00816F4E" w:rsidP="00A47902">
      <w:pPr>
        <w:spacing w:after="0" w:line="240" w:lineRule="auto"/>
        <w:jc w:val="both"/>
      </w:pPr>
    </w:p>
    <w:p w:rsidR="00816F4E" w:rsidRDefault="00816F4E" w:rsidP="00816F4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222FA2A">
            <wp:extent cx="2752725" cy="18552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5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610BD" w:rsidRDefault="00B610BD" w:rsidP="00A47902">
      <w:pPr>
        <w:spacing w:after="0" w:line="240" w:lineRule="auto"/>
        <w:jc w:val="both"/>
      </w:pPr>
    </w:p>
    <w:p w:rsidR="00816F4E" w:rsidRDefault="00816F4E" w:rsidP="00816F4E">
      <w:pPr>
        <w:spacing w:after="0" w:line="240" w:lineRule="auto"/>
        <w:jc w:val="both"/>
      </w:pPr>
      <w:r>
        <w:t>Additionally, IRR assumes reinvestment of positive cash flows at the IRR as opposed to NPV which assumes reinvestment at the WACC.  Is this reasonable or is it likely to exaggerate?</w:t>
      </w:r>
    </w:p>
    <w:p w:rsidR="00816F4E" w:rsidRDefault="00816F4E" w:rsidP="00816F4E">
      <w:pPr>
        <w:spacing w:after="0" w:line="240" w:lineRule="auto"/>
        <w:jc w:val="both"/>
      </w:pPr>
    </w:p>
    <w:p w:rsidR="00816F4E" w:rsidRDefault="00816F4E" w:rsidP="00816F4E">
      <w:pPr>
        <w:spacing w:after="0" w:line="240" w:lineRule="auto"/>
        <w:jc w:val="both"/>
      </w:pPr>
    </w:p>
    <w:p w:rsidR="00816F4E" w:rsidRDefault="00816F4E" w:rsidP="00816F4E">
      <w:pPr>
        <w:spacing w:after="0" w:line="240" w:lineRule="auto"/>
        <w:jc w:val="both"/>
      </w:pPr>
    </w:p>
    <w:p w:rsidR="00816F4E" w:rsidRDefault="00816F4E" w:rsidP="00816F4E">
      <w:pPr>
        <w:spacing w:after="0" w:line="240" w:lineRule="auto"/>
        <w:jc w:val="both"/>
      </w:pPr>
    </w:p>
    <w:p w:rsidR="00B610BD" w:rsidRDefault="00B610BD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Payback</w:t>
      </w:r>
    </w:p>
    <w:p w:rsidR="00A47902" w:rsidRDefault="00A47902" w:rsidP="00A47902">
      <w:pPr>
        <w:spacing w:after="0" w:line="240" w:lineRule="auto"/>
        <w:jc w:val="both"/>
        <w:rPr>
          <w:b/>
          <w:i/>
        </w:rPr>
      </w:pPr>
    </w:p>
    <w:p w:rsidR="00816F4E" w:rsidRDefault="00A47902" w:rsidP="00A47902">
      <w:pPr>
        <w:spacing w:after="0" w:line="240" w:lineRule="auto"/>
        <w:jc w:val="both"/>
      </w:pPr>
      <w:r>
        <w:t>Another common approach, in practice, is payback (sometimes referred to as the payback period).  What is the logic behind it?  What is the decision rule?</w:t>
      </w: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DD6E42" w:rsidRDefault="00DD6E4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  <w:r>
        <w:t>What are the strengths of payback?</w:t>
      </w:r>
      <w:r w:rsidR="009C015F">
        <w:t xml:space="preserve">  Does it meet all five criteria laid out previously?</w: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9C015F" w:rsidRDefault="009C015F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  <w:r>
        <w:lastRenderedPageBreak/>
        <w:t>What are the weaknesses of payback?</w: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  <w:rPr>
          <w:b/>
        </w:rPr>
      </w:pPr>
    </w:p>
    <w:p w:rsidR="00A47902" w:rsidRDefault="00A47902" w:rsidP="00A47902">
      <w:pPr>
        <w:spacing w:after="0" w:line="240" w:lineRule="auto"/>
        <w:jc w:val="both"/>
        <w:rPr>
          <w:b/>
        </w:rPr>
      </w:pPr>
      <w:r>
        <w:rPr>
          <w:b/>
        </w:rPr>
        <w:t>SOME CONCLUDING THOUGHTS</w:t>
      </w:r>
    </w:p>
    <w:p w:rsidR="00A47902" w:rsidRDefault="00A47902" w:rsidP="00A47902">
      <w:pPr>
        <w:spacing w:after="0" w:line="240" w:lineRule="auto"/>
        <w:jc w:val="both"/>
        <w:rPr>
          <w:b/>
        </w:rPr>
      </w:pPr>
    </w:p>
    <w:p w:rsidR="00A47902" w:rsidRDefault="00A47902" w:rsidP="00A47902">
      <w:pPr>
        <w:spacing w:after="0" w:line="240" w:lineRule="auto"/>
        <w:jc w:val="both"/>
      </w:pPr>
      <w:r>
        <w:t xml:space="preserve">Capital budgeting is exceptionally important: if done well, a company will likely prosper; if done </w:t>
      </w:r>
      <w:proofErr w:type="gramStart"/>
      <w:r>
        <w:t>poorly,</w:t>
      </w:r>
      <w:proofErr w:type="gramEnd"/>
      <w:r>
        <w:t xml:space="preserve"> a company will likely fail (or at least underperform).  This being said, the tools are</w:t>
      </w:r>
      <w:r w:rsidR="00DD6E42">
        <w:t xml:space="preserve"> all</w:t>
      </w:r>
      <w:r>
        <w:t xml:space="preserve"> inherently imperfect.  Why?</w:t>
      </w: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A47902" w:rsidRDefault="00A47902" w:rsidP="00A47902">
      <w:pPr>
        <w:spacing w:after="0" w:line="240" w:lineRule="auto"/>
        <w:jc w:val="both"/>
      </w:pPr>
    </w:p>
    <w:p w:rsidR="007B30F8" w:rsidRDefault="007B30F8" w:rsidP="008F070F">
      <w:pPr>
        <w:spacing w:after="0" w:line="240" w:lineRule="auto"/>
        <w:jc w:val="both"/>
      </w:pPr>
    </w:p>
    <w:p w:rsidR="00DD6E42" w:rsidRDefault="00DD6E42" w:rsidP="008F070F">
      <w:pPr>
        <w:spacing w:after="0" w:line="240" w:lineRule="auto"/>
        <w:jc w:val="both"/>
      </w:pPr>
    </w:p>
    <w:p w:rsidR="00DD6E42" w:rsidRPr="00A85F06" w:rsidRDefault="00DD6E42" w:rsidP="008F070F">
      <w:pPr>
        <w:spacing w:after="0" w:line="240" w:lineRule="auto"/>
        <w:jc w:val="both"/>
      </w:pPr>
      <w:r>
        <w:t>Does this mean that we should not attempt t</w:t>
      </w:r>
      <w:r w:rsidR="009C015F">
        <w:t>o properly analyze projects?  Almost certainly not</w:t>
      </w:r>
      <w:r>
        <w:t>, but we need to be very careful with the way that we interpret the outputs.</w:t>
      </w:r>
    </w:p>
    <w:sectPr w:rsidR="00DD6E42" w:rsidRPr="00A8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D4C2B"/>
    <w:multiLevelType w:val="hybridMultilevel"/>
    <w:tmpl w:val="A27012FE"/>
    <w:lvl w:ilvl="0" w:tplc="115C7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8A2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EE4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70C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8F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6CB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D4F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2AE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27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50B5B8E"/>
    <w:multiLevelType w:val="hybridMultilevel"/>
    <w:tmpl w:val="6514139C"/>
    <w:lvl w:ilvl="0" w:tplc="BBBE2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1CCC62">
      <w:start w:val="19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E5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962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100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9C0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06D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620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549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961275F"/>
    <w:multiLevelType w:val="hybridMultilevel"/>
    <w:tmpl w:val="4E68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B565A"/>
    <w:multiLevelType w:val="hybridMultilevel"/>
    <w:tmpl w:val="216A37E6"/>
    <w:lvl w:ilvl="0" w:tplc="C8BC4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2E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D45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BA1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4D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3A9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BCA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F8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C03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17341E6"/>
    <w:multiLevelType w:val="hybridMultilevel"/>
    <w:tmpl w:val="589A9464"/>
    <w:lvl w:ilvl="0" w:tplc="80D4AE32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CC"/>
    <w:rsid w:val="00077B09"/>
    <w:rsid w:val="000952DA"/>
    <w:rsid w:val="000C733D"/>
    <w:rsid w:val="000F7AD7"/>
    <w:rsid w:val="001A74A1"/>
    <w:rsid w:val="00370245"/>
    <w:rsid w:val="004D5734"/>
    <w:rsid w:val="00515ECE"/>
    <w:rsid w:val="00617D06"/>
    <w:rsid w:val="006B5D1E"/>
    <w:rsid w:val="007B30F8"/>
    <w:rsid w:val="00816F4E"/>
    <w:rsid w:val="00853670"/>
    <w:rsid w:val="00880FAE"/>
    <w:rsid w:val="008F070F"/>
    <w:rsid w:val="00901164"/>
    <w:rsid w:val="009A28C9"/>
    <w:rsid w:val="009C015F"/>
    <w:rsid w:val="009D1EDC"/>
    <w:rsid w:val="009F26DF"/>
    <w:rsid w:val="00A26D6D"/>
    <w:rsid w:val="00A47902"/>
    <w:rsid w:val="00A85F06"/>
    <w:rsid w:val="00A936CC"/>
    <w:rsid w:val="00AA1F61"/>
    <w:rsid w:val="00B610BD"/>
    <w:rsid w:val="00BC536C"/>
    <w:rsid w:val="00C41DF0"/>
    <w:rsid w:val="00C628EC"/>
    <w:rsid w:val="00C76819"/>
    <w:rsid w:val="00D479F5"/>
    <w:rsid w:val="00D75749"/>
    <w:rsid w:val="00DD6E42"/>
    <w:rsid w:val="00E226A3"/>
    <w:rsid w:val="00E4046A"/>
    <w:rsid w:val="00E4548B"/>
    <w:rsid w:val="00E70C04"/>
    <w:rsid w:val="00F2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B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B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9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95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506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85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4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00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5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2018-12-19T04:17:00Z</dcterms:created>
  <dcterms:modified xsi:type="dcterms:W3CDTF">2018-12-19T04:17:00Z</dcterms:modified>
</cp:coreProperties>
</file>