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CA587B">
      <w:pPr>
        <w:pStyle w:val="17"/>
        <w:widowControl/>
        <w:rPr>
          <w:rFonts w:hint="eastAsia" w:asciiTheme="minorEastAsia" w:hAnsiTheme="minorEastAsia" w:eastAsiaTheme="minorEastAsia" w:cstheme="minorEastAsia"/>
        </w:rPr>
      </w:pPr>
    </w:p>
    <w:p w14:paraId="6CC7AA26">
      <w:pPr>
        <w:pStyle w:val="17"/>
        <w:bidi w:val="0"/>
        <w:rPr>
          <w:rFonts w:hint="eastAsia"/>
        </w:rPr>
      </w:pPr>
      <w:r>
        <w:t>点糠成金——稻壳全产业链协同增值的工程管理创新实践</w:t>
      </w:r>
    </w:p>
    <w:p w14:paraId="3D94E22D">
      <w:pPr>
        <w:keepNext w:val="0"/>
        <w:keepLines w:val="0"/>
        <w:widowControl/>
        <w:suppressLineNumbers w:val="0"/>
        <w:jc w:val="left"/>
        <w:rPr>
          <w:rFonts w:ascii="宋体" w:hAnsi="宋体" w:eastAsia="宋体" w:cs="宋体"/>
          <w:color w:val="000000"/>
          <w:kern w:val="0"/>
          <w:sz w:val="28"/>
          <w:szCs w:val="28"/>
          <w:lang w:val="en-US" w:eastAsia="zh-CN" w:bidi="ar"/>
        </w:rPr>
      </w:pPr>
    </w:p>
    <w:p w14:paraId="25C05FE1">
      <w:pPr>
        <w:keepNext w:val="0"/>
        <w:keepLines w:val="0"/>
        <w:widowControl/>
        <w:suppressLineNumbers w:val="0"/>
        <w:jc w:val="left"/>
        <w:rPr>
          <w:rFonts w:ascii="宋体" w:hAnsi="宋体" w:eastAsia="宋体" w:cs="宋体"/>
          <w:color w:val="000000"/>
          <w:kern w:val="0"/>
          <w:sz w:val="28"/>
          <w:szCs w:val="28"/>
          <w:lang w:val="en-US" w:eastAsia="zh-CN" w:bidi="ar"/>
        </w:rPr>
      </w:pPr>
    </w:p>
    <w:p w14:paraId="154CC16C">
      <w:pPr>
        <w:keepNext w:val="0"/>
        <w:keepLines w:val="0"/>
        <w:widowControl/>
        <w:suppressLineNumbers w:val="0"/>
        <w:jc w:val="left"/>
        <w:rPr>
          <w:rFonts w:ascii="宋体" w:hAnsi="宋体" w:eastAsia="宋体" w:cs="宋体"/>
          <w:color w:val="000000"/>
          <w:kern w:val="0"/>
          <w:sz w:val="28"/>
          <w:szCs w:val="28"/>
          <w:lang w:val="en-US" w:eastAsia="zh-CN" w:bidi="ar"/>
        </w:rPr>
      </w:pPr>
    </w:p>
    <w:p w14:paraId="6D6BDD59">
      <w:pPr>
        <w:keepNext w:val="0"/>
        <w:keepLines w:val="0"/>
        <w:widowControl/>
        <w:suppressLineNumbers w:val="0"/>
        <w:jc w:val="left"/>
        <w:rPr>
          <w:rFonts w:ascii="宋体" w:hAnsi="宋体" w:eastAsia="宋体" w:cs="宋体"/>
          <w:color w:val="000000"/>
          <w:kern w:val="0"/>
          <w:sz w:val="28"/>
          <w:szCs w:val="28"/>
          <w:lang w:val="en-US" w:eastAsia="zh-CN" w:bidi="ar"/>
        </w:rPr>
      </w:pPr>
    </w:p>
    <w:p w14:paraId="12E78402">
      <w:pPr>
        <w:keepNext w:val="0"/>
        <w:keepLines w:val="0"/>
        <w:widowControl/>
        <w:suppressLineNumbers w:val="0"/>
        <w:jc w:val="left"/>
        <w:rPr>
          <w:rFonts w:ascii="宋体" w:hAnsi="宋体" w:eastAsia="宋体" w:cs="宋体"/>
          <w:color w:val="000000"/>
          <w:kern w:val="0"/>
          <w:sz w:val="28"/>
          <w:szCs w:val="28"/>
          <w:lang w:val="en-US" w:eastAsia="zh-CN" w:bidi="ar"/>
        </w:rPr>
      </w:pPr>
    </w:p>
    <w:p w14:paraId="329764EC">
      <w:pPr>
        <w:keepNext w:val="0"/>
        <w:keepLines w:val="0"/>
        <w:widowControl/>
        <w:suppressLineNumbers w:val="0"/>
        <w:jc w:val="left"/>
        <w:rPr>
          <w:rFonts w:ascii="宋体" w:hAnsi="宋体" w:eastAsia="宋体" w:cs="宋体"/>
          <w:color w:val="000000"/>
          <w:kern w:val="0"/>
          <w:sz w:val="28"/>
          <w:szCs w:val="28"/>
          <w:lang w:val="en-US" w:eastAsia="zh-CN" w:bidi="ar"/>
        </w:rPr>
      </w:pPr>
    </w:p>
    <w:p w14:paraId="24462227">
      <w:pPr>
        <w:keepNext w:val="0"/>
        <w:keepLines w:val="0"/>
        <w:widowControl/>
        <w:suppressLineNumbers w:val="0"/>
        <w:jc w:val="center"/>
        <w:rPr>
          <w:rFonts w:ascii="宋体" w:hAnsi="宋体" w:eastAsia="宋体" w:cs="宋体"/>
          <w:color w:val="000000"/>
          <w:kern w:val="0"/>
          <w:sz w:val="28"/>
          <w:szCs w:val="28"/>
          <w:lang w:val="en-US" w:eastAsia="zh-CN" w:bidi="ar"/>
        </w:rPr>
      </w:pPr>
    </w:p>
    <w:p w14:paraId="7BD2D6CB">
      <w:pPr>
        <w:keepNext w:val="0"/>
        <w:keepLines w:val="0"/>
        <w:widowControl/>
        <w:suppressLineNumbers w:val="0"/>
        <w:jc w:val="center"/>
        <w:rPr>
          <w:rFonts w:ascii="宋体" w:hAnsi="宋体" w:eastAsia="宋体" w:cs="宋体"/>
          <w:color w:val="000000"/>
          <w:kern w:val="0"/>
          <w:sz w:val="28"/>
          <w:szCs w:val="28"/>
          <w:lang w:val="en-US" w:eastAsia="zh-CN" w:bidi="ar"/>
        </w:rPr>
      </w:pPr>
    </w:p>
    <w:p w14:paraId="08DB8BE6">
      <w:pPr>
        <w:keepNext w:val="0"/>
        <w:keepLines w:val="0"/>
        <w:widowControl/>
        <w:suppressLineNumbers w:val="0"/>
        <w:jc w:val="center"/>
        <w:rPr>
          <w:rFonts w:ascii="宋体" w:hAnsi="宋体" w:eastAsia="宋体" w:cs="宋体"/>
          <w:color w:val="000000"/>
          <w:kern w:val="0"/>
          <w:sz w:val="28"/>
          <w:szCs w:val="28"/>
          <w:lang w:val="en-US" w:eastAsia="zh-CN" w:bidi="ar"/>
        </w:rPr>
      </w:pPr>
    </w:p>
    <w:p w14:paraId="2B79FD20">
      <w:pPr>
        <w:keepNext w:val="0"/>
        <w:keepLines w:val="0"/>
        <w:widowControl/>
        <w:suppressLineNumbers w:val="0"/>
        <w:jc w:val="center"/>
        <w:rPr>
          <w:rFonts w:ascii="宋体" w:hAnsi="宋体" w:eastAsia="宋体" w:cs="宋体"/>
          <w:color w:val="000000"/>
          <w:kern w:val="0"/>
          <w:sz w:val="28"/>
          <w:szCs w:val="28"/>
          <w:lang w:val="en-US" w:eastAsia="zh-CN" w:bidi="ar"/>
        </w:rPr>
      </w:pPr>
    </w:p>
    <w:p w14:paraId="48E78A41">
      <w:pPr>
        <w:keepNext w:val="0"/>
        <w:keepLines w:val="0"/>
        <w:widowControl/>
        <w:suppressLineNumbers w:val="0"/>
        <w:jc w:val="center"/>
        <w:rPr>
          <w:rFonts w:ascii="宋体" w:hAnsi="宋体" w:eastAsia="宋体" w:cs="宋体"/>
          <w:color w:val="000000"/>
          <w:kern w:val="0"/>
          <w:sz w:val="28"/>
          <w:szCs w:val="28"/>
          <w:lang w:val="en-US" w:eastAsia="zh-CN" w:bidi="ar"/>
        </w:rPr>
      </w:pPr>
    </w:p>
    <w:p w14:paraId="7EEC7B4B">
      <w:pPr>
        <w:keepNext w:val="0"/>
        <w:keepLines w:val="0"/>
        <w:widowControl/>
        <w:suppressLineNumbers w:val="0"/>
        <w:jc w:val="center"/>
        <w:rPr>
          <w:rFonts w:ascii="宋体" w:hAnsi="宋体" w:eastAsia="宋体" w:cs="宋体"/>
          <w:color w:val="000000"/>
          <w:kern w:val="0"/>
          <w:sz w:val="28"/>
          <w:szCs w:val="28"/>
          <w:lang w:val="en-US" w:eastAsia="zh-CN" w:bidi="ar"/>
        </w:rPr>
      </w:pPr>
    </w:p>
    <w:p w14:paraId="39784BFA">
      <w:pPr>
        <w:keepNext w:val="0"/>
        <w:keepLines w:val="0"/>
        <w:widowControl/>
        <w:suppressLineNumbers w:val="0"/>
        <w:jc w:val="center"/>
        <w:rPr>
          <w:rFonts w:ascii="宋体" w:hAnsi="宋体" w:eastAsia="宋体" w:cs="宋体"/>
          <w:color w:val="000000"/>
          <w:kern w:val="0"/>
          <w:sz w:val="28"/>
          <w:szCs w:val="28"/>
          <w:lang w:val="en-US" w:eastAsia="zh-CN" w:bidi="ar"/>
        </w:rPr>
      </w:pPr>
    </w:p>
    <w:p w14:paraId="6891D140">
      <w:pPr>
        <w:keepNext w:val="0"/>
        <w:keepLines w:val="0"/>
        <w:widowControl/>
        <w:suppressLineNumbers w:val="0"/>
        <w:jc w:val="center"/>
      </w:pPr>
      <w:r>
        <w:rPr>
          <w:rFonts w:ascii="宋体" w:hAnsi="宋体" w:eastAsia="宋体" w:cs="宋体"/>
          <w:color w:val="000000"/>
          <w:kern w:val="0"/>
          <w:sz w:val="28"/>
          <w:szCs w:val="28"/>
          <w:lang w:val="en-US" w:eastAsia="zh-CN" w:bidi="ar"/>
        </w:rPr>
        <w:t>成文时间：202</w:t>
      </w:r>
      <w:r>
        <w:rPr>
          <w:rFonts w:hint="eastAsia" w:ascii="宋体" w:hAnsi="宋体" w:eastAsia="宋体" w:cs="宋体"/>
          <w:color w:val="000000"/>
          <w:kern w:val="0"/>
          <w:sz w:val="28"/>
          <w:szCs w:val="28"/>
          <w:lang w:val="en-US" w:eastAsia="zh-CN" w:bidi="ar"/>
        </w:rPr>
        <w:t>5</w:t>
      </w:r>
      <w:r>
        <w:rPr>
          <w:rFonts w:ascii="宋体" w:hAnsi="宋体" w:eastAsia="宋体" w:cs="宋体"/>
          <w:color w:val="000000"/>
          <w:kern w:val="0"/>
          <w:sz w:val="28"/>
          <w:szCs w:val="28"/>
          <w:lang w:val="en-US" w:eastAsia="zh-CN" w:bidi="ar"/>
        </w:rPr>
        <w:t xml:space="preserve"> 年 </w:t>
      </w:r>
      <w:r>
        <w:rPr>
          <w:rFonts w:hint="eastAsia" w:ascii="宋体" w:hAnsi="宋体" w:eastAsia="宋体" w:cs="宋体"/>
          <w:color w:val="000000"/>
          <w:kern w:val="0"/>
          <w:sz w:val="28"/>
          <w:szCs w:val="28"/>
          <w:lang w:val="en-US" w:eastAsia="zh-CN" w:bidi="ar"/>
        </w:rPr>
        <w:t>3</w:t>
      </w:r>
      <w:r>
        <w:rPr>
          <w:rFonts w:ascii="宋体" w:hAnsi="宋体" w:eastAsia="宋体" w:cs="宋体"/>
          <w:color w:val="000000"/>
          <w:kern w:val="0"/>
          <w:sz w:val="28"/>
          <w:szCs w:val="28"/>
          <w:lang w:val="en-US" w:eastAsia="zh-CN" w:bidi="ar"/>
        </w:rPr>
        <w:t xml:space="preserve"> 月 </w:t>
      </w:r>
      <w:r>
        <w:rPr>
          <w:rFonts w:hint="eastAsia" w:ascii="宋体" w:hAnsi="宋体" w:eastAsia="宋体" w:cs="宋体"/>
          <w:color w:val="000000"/>
          <w:kern w:val="0"/>
          <w:sz w:val="28"/>
          <w:szCs w:val="28"/>
          <w:lang w:val="en-US" w:eastAsia="zh-CN" w:bidi="ar"/>
        </w:rPr>
        <w:t>23</w:t>
      </w:r>
      <w:r>
        <w:rPr>
          <w:rFonts w:ascii="宋体" w:hAnsi="宋体" w:eastAsia="宋体" w:cs="宋体"/>
          <w:color w:val="000000"/>
          <w:kern w:val="0"/>
          <w:sz w:val="28"/>
          <w:szCs w:val="28"/>
          <w:lang w:val="en-US" w:eastAsia="zh-CN" w:bidi="ar"/>
        </w:rPr>
        <w:t xml:space="preserve"> 日</w:t>
      </w:r>
    </w:p>
    <w:p w14:paraId="60B0D191">
      <w:pPr>
        <w:jc w:val="center"/>
        <w:rPr>
          <w:rFonts w:hint="eastAsia" w:asciiTheme="minorEastAsia" w:hAnsiTheme="minorEastAsia" w:eastAsiaTheme="minorEastAsia" w:cstheme="minorEastAsia"/>
          <w:i w:val="0"/>
          <w:vertAlign w:val="baseline"/>
        </w:rPr>
      </w:pPr>
      <w:r>
        <w:rPr>
          <w:rFonts w:ascii="宋体" w:hAnsi="宋体" w:eastAsia="宋体" w:cs="宋体"/>
          <w:color w:val="000000"/>
          <w:kern w:val="0"/>
          <w:sz w:val="28"/>
          <w:szCs w:val="28"/>
          <w:lang w:val="en-US" w:eastAsia="zh-CN" w:bidi="ar"/>
        </w:rPr>
        <w:t>投稿赛道：“</w:t>
      </w:r>
      <w:r>
        <w:rPr>
          <w:rFonts w:hint="eastAsia" w:ascii="宋体" w:hAnsi="宋体" w:eastAsia="宋体" w:cs="宋体"/>
          <w:color w:val="000000"/>
          <w:kern w:val="0"/>
          <w:sz w:val="28"/>
          <w:szCs w:val="28"/>
          <w:lang w:val="en-US" w:eastAsia="zh-CN" w:bidi="ar"/>
        </w:rPr>
        <w:t>产业创新”</w:t>
      </w:r>
    </w:p>
    <w:p w14:paraId="57389024">
      <w:pPr>
        <w:rPr>
          <w:rFonts w:hint="eastAsia" w:asciiTheme="minorEastAsia" w:hAnsiTheme="minorEastAsia" w:eastAsiaTheme="minorEastAsia" w:cstheme="minorEastAsia"/>
          <w:i w:val="0"/>
          <w:vertAlign w:val="baseline"/>
        </w:rPr>
      </w:pPr>
    </w:p>
    <w:p w14:paraId="5782B739">
      <w:pPr>
        <w:rPr>
          <w:rFonts w:hint="eastAsia" w:asciiTheme="minorEastAsia" w:hAnsiTheme="minorEastAsia" w:eastAsiaTheme="minorEastAsia" w:cstheme="minorEastAsia"/>
          <w:i w:val="0"/>
          <w:vertAlign w:val="baseline"/>
        </w:rPr>
      </w:pPr>
    </w:p>
    <w:p w14:paraId="29FBE892">
      <w:pPr>
        <w:rPr>
          <w:rFonts w:hint="eastAsia" w:asciiTheme="minorEastAsia" w:hAnsiTheme="minorEastAsia" w:eastAsiaTheme="minorEastAsia" w:cstheme="minorEastAsia"/>
          <w:i w:val="0"/>
          <w:vertAlign w:val="baseline"/>
        </w:rPr>
      </w:pPr>
    </w:p>
    <w:p w14:paraId="234C8E4F">
      <w:pPr>
        <w:rPr>
          <w:rFonts w:hint="eastAsia" w:asciiTheme="minorEastAsia" w:hAnsiTheme="minorEastAsia" w:eastAsiaTheme="minorEastAsia" w:cstheme="minorEastAsia"/>
          <w:i w:val="0"/>
          <w:vertAlign w:val="baseline"/>
        </w:rPr>
      </w:pPr>
    </w:p>
    <w:p w14:paraId="40020899">
      <w:pPr>
        <w:rPr>
          <w:rFonts w:hint="eastAsia" w:asciiTheme="minorEastAsia" w:hAnsiTheme="minorEastAsia" w:eastAsiaTheme="minorEastAsia" w:cstheme="minorEastAsia"/>
          <w:i w:val="0"/>
          <w:vertAlign w:val="baseline"/>
        </w:rPr>
      </w:pPr>
    </w:p>
    <w:p w14:paraId="6E1D47F3">
      <w:pPr>
        <w:rPr>
          <w:rFonts w:hint="eastAsia" w:asciiTheme="minorEastAsia" w:hAnsiTheme="minorEastAsia" w:eastAsiaTheme="minorEastAsia" w:cstheme="minorEastAsia"/>
          <w:i w:val="0"/>
          <w:vertAlign w:val="baseline"/>
        </w:rPr>
      </w:pPr>
    </w:p>
    <w:p w14:paraId="258DBD69">
      <w:pPr>
        <w:rPr>
          <w:rFonts w:hint="eastAsia" w:asciiTheme="minorEastAsia" w:hAnsiTheme="minorEastAsia" w:eastAsiaTheme="minorEastAsia" w:cstheme="minorEastAsia"/>
          <w:i w:val="0"/>
          <w:vertAlign w:val="baseline"/>
        </w:rPr>
      </w:pPr>
    </w:p>
    <w:p w14:paraId="26636089">
      <w:pPr>
        <w:rPr>
          <w:rFonts w:hint="eastAsia" w:asciiTheme="minorEastAsia" w:hAnsiTheme="minorEastAsia" w:eastAsiaTheme="minorEastAsia" w:cstheme="minorEastAsia"/>
          <w:i w:val="0"/>
          <w:vertAlign w:val="baseline"/>
        </w:rPr>
      </w:pPr>
    </w:p>
    <w:p w14:paraId="537D30FA">
      <w:pPr>
        <w:pStyle w:val="2"/>
        <w:keepNext/>
        <w:widowControl/>
        <w:numPr>
          <w:ilvl w:val="0"/>
          <w:numId w:val="1"/>
        </w:numPr>
        <w:ind w:left="0" w:leftChars="0" w:firstLine="0" w:firstLineChars="0"/>
        <w:rPr>
          <w:rFonts w:hint="eastAsia" w:asciiTheme="minorEastAsia" w:hAnsiTheme="minorEastAsia" w:eastAsiaTheme="minorEastAsia" w:cstheme="minorEastAsia"/>
          <w:b/>
        </w:rPr>
      </w:pPr>
      <w:bookmarkStart w:id="0" w:name="_GoBack"/>
      <w:bookmarkEnd w:id="0"/>
      <w:r>
        <w:rPr>
          <w:rFonts w:hint="eastAsia" w:asciiTheme="minorEastAsia" w:hAnsiTheme="minorEastAsia" w:eastAsiaTheme="minorEastAsia" w:cstheme="minorEastAsia"/>
        </w:rPr>
        <w:t>案例综述</w:t>
      </w:r>
    </w:p>
    <w:p w14:paraId="1712CE76">
      <w:pPr>
        <w:pStyle w:val="3"/>
        <w:keepNext/>
        <w:widowControl/>
        <w:numPr>
          <w:ilvl w:val="0"/>
          <w:numId w:val="2"/>
        </w:numPr>
        <w:ind w:left="0" w:leftChars="0" w:firstLine="0" w:firstLineChars="0"/>
        <w:rPr>
          <w:rFonts w:hint="eastAsia" w:asciiTheme="minorEastAsia" w:hAnsiTheme="minorEastAsia" w:eastAsiaTheme="minorEastAsia" w:cstheme="minorEastAsia"/>
          <w:b/>
        </w:rPr>
      </w:pPr>
      <w:r>
        <w:rPr>
          <w:rFonts w:hint="eastAsia" w:asciiTheme="minorEastAsia" w:hAnsiTheme="minorEastAsia" w:eastAsiaTheme="minorEastAsia" w:cstheme="minorEastAsia"/>
        </w:rPr>
        <w:t>案例背景</w:t>
      </w:r>
    </w:p>
    <w:p w14:paraId="511DDA26">
      <w:pPr>
        <w:pStyle w:val="11"/>
        <w:bidi w:val="0"/>
      </w:pPr>
      <w:r>
        <w:t>江西省作为全国主要的水稻产区，每年产生稻壳超过300万吨。然而，传统的稻壳处理方式长期存在效率低、污染重的问题。露天焚烧是最常见的处理方式之一，但每吨稻壳燃烧会产生约1.8吨二氧化碳当量的温室气体，不仅破坏生态环境，也违反绿色发展理念。堆肥处理虽然在一定程度上实现了资源回归土壤，但由于管理粗放和技术落后，导致转化效率低、农艺效果差。此外，还有部分企业以稻壳作燃料直接供热，但该方式能源利用率低，设备结焦严重，运营维护成本高。</w:t>
      </w:r>
    </w:p>
    <w:p w14:paraId="2A1CDDA8">
      <w:pPr>
        <w:pStyle w:val="11"/>
        <w:bidi w:val="0"/>
      </w:pPr>
      <w:r>
        <w:t>随着国家“双碳”战略推进，农业废弃物资源化利用被提升到战略高度。2019年，国家发改委印发《秸秆综合利用实施方案（2019-2025年）》，提出到2025年秸秆综合利用率达到86%以上，明确稻壳等农业废弃物应向高附加值方向转化。江西金糠生物科技有限公司积极响应政策号召，创新构建了以稻壳为核心原料的“三级利用”多联产技术体系，实现了从原料预处理、低温热解到高值材料精深加工的全流程产业链，稻壳资源利用率达98.5%。</w:t>
      </w:r>
    </w:p>
    <w:p w14:paraId="58E06B45">
      <w:pPr>
        <w:pStyle w:val="11"/>
        <w:bidi w:val="0"/>
      </w:pPr>
      <w:r>
        <w:t>尽管金糠公司在技术研发和装备制造方面取得突破，但在项目实施过程中暴露出一系列工程管理问题，如工艺环节协同不足、原料收储系统不健全、产品市场定位模糊、运行能耗偏高等。研究</w:t>
      </w:r>
      <w:r>
        <w:rPr>
          <w:rFonts w:hint="eastAsia"/>
          <w:lang w:val="en-US" w:eastAsia="zh-CN"/>
        </w:rPr>
        <w:t>小组</w:t>
      </w:r>
      <w:r>
        <w:t>以工程管理方法为指导，系统分析金糠公司稻壳多联产项目在工程建设与运营管理中的核心问题，并通过流程再造、系统集成、风险控制与组织协调等手段进行系统性优化。</w:t>
      </w:r>
    </w:p>
    <w:p w14:paraId="2C53A618">
      <w:pPr>
        <w:pStyle w:val="3"/>
        <w:keepNext/>
        <w:widowControl/>
        <w:numPr>
          <w:ilvl w:val="0"/>
          <w:numId w:val="2"/>
        </w:numPr>
        <w:ind w:left="0" w:leftChars="0" w:firstLine="0" w:firstLineChars="0"/>
        <w:rPr>
          <w:rFonts w:hint="eastAsia" w:asciiTheme="minorEastAsia" w:hAnsiTheme="minorEastAsia" w:eastAsiaTheme="minorEastAsia" w:cstheme="minorEastAsia"/>
          <w:b/>
        </w:rPr>
      </w:pPr>
      <w:r>
        <w:rPr>
          <w:rFonts w:hint="eastAsia" w:asciiTheme="minorEastAsia" w:hAnsiTheme="minorEastAsia" w:eastAsiaTheme="minorEastAsia" w:cstheme="minorEastAsia"/>
        </w:rPr>
        <w:t>案例简介</w:t>
      </w:r>
    </w:p>
    <w:p w14:paraId="5311CBFB">
      <w:pPr>
        <w:pStyle w:val="11"/>
        <w:bidi w:val="0"/>
      </w:pPr>
      <w:r>
        <w:t>金糠公司围绕稻壳“吃干榨净”的理念，构建了“预处理—热解—深加工”三级梯度利用技术体系。在预处理环节，通过风选除尘、机械筛分和磁选去除杂质，实现稻壳颗粒标准化。在热解阶段，采用公司自主研发的连续式低温热解炉，将稻壳在280-350℃条件下热解，分离出生物炭、粗制醋液和可燃气体。在深加工环节，分别提取高纯度二氧化硅用于轮胎、涂料等工业材料生产，利用生物炭开发土壤改良材料和新能源电池电极材料。</w:t>
      </w:r>
    </w:p>
    <w:p w14:paraId="541FD961">
      <w:pPr>
        <w:pStyle w:val="11"/>
        <w:bidi w:val="0"/>
      </w:pPr>
      <w:r>
        <w:t>项目建成后年处理稻壳12万吨，年产5万吨生物质颗粒、2000吨纳米二氧化硅、8000万立方米生物燃气，年减排二氧化碳6.8万吨。公司采用EPC工程总承包模式，通过模块化设计缩短建设周期，并建立了“农户—合作社—企业”三级收储网络。</w:t>
      </w:r>
    </w:p>
    <w:p w14:paraId="15681936">
      <w:pPr>
        <w:pStyle w:val="11"/>
        <w:bidi w:val="0"/>
      </w:pPr>
      <w:r>
        <w:t>通过研究团队的工程管理优化，金糠公司在多个方面取得实质性改善。包括：生产系统集成度提升、设备布置密度提高27%、堵塞率由15次/月下降至0.3次/月、农户参与率由60%上升至89%、单位能耗下降19%。</w:t>
      </w:r>
    </w:p>
    <w:p w14:paraId="0DFDBE8F">
      <w:pPr>
        <w:pStyle w:val="3"/>
        <w:keepNext/>
        <w:widowControl/>
        <w:numPr>
          <w:ilvl w:val="0"/>
          <w:numId w:val="2"/>
        </w:numPr>
        <w:ind w:left="0" w:leftChars="0" w:firstLine="0" w:firstLineChars="0"/>
        <w:rPr>
          <w:rFonts w:hint="eastAsia" w:asciiTheme="minorEastAsia" w:hAnsiTheme="minorEastAsia" w:eastAsiaTheme="minorEastAsia" w:cstheme="minorEastAsia"/>
          <w:b/>
        </w:rPr>
      </w:pPr>
      <w:r>
        <w:rPr>
          <w:rFonts w:hint="eastAsia" w:asciiTheme="minorEastAsia" w:hAnsiTheme="minorEastAsia" w:eastAsiaTheme="minorEastAsia" w:cstheme="minorEastAsia"/>
        </w:rPr>
        <w:t>主要问题</w:t>
      </w:r>
    </w:p>
    <w:p w14:paraId="071134FF">
      <w:pPr>
        <w:pStyle w:val="11"/>
        <w:widowControl/>
        <w:numPr>
          <w:ilvl w:val="0"/>
          <w:numId w:val="3"/>
        </w:numPr>
        <w:pBdr>
          <w:top w:val="none" w:color="auto" w:sz="0" w:space="0"/>
          <w:left w:val="none" w:color="auto" w:sz="0" w:space="0"/>
          <w:bottom w:val="none" w:color="auto" w:sz="0" w:space="0"/>
          <w:right w:val="none" w:color="auto" w:sz="0" w:space="0"/>
        </w:pBdr>
        <w:ind w:left="845" w:leftChars="0" w:hanging="425" w:firstLineChars="0"/>
        <w:rPr>
          <w:rFonts w:hint="eastAsia" w:asciiTheme="minorEastAsia" w:hAnsiTheme="minorEastAsia" w:eastAsiaTheme="minorEastAsia" w:cstheme="minorEastAsia"/>
          <w:b w:val="0"/>
          <w:bCs w:val="0"/>
          <w:i w:val="0"/>
          <w:vertAlign w:val="baseline"/>
        </w:rPr>
      </w:pPr>
      <w:r>
        <w:rPr>
          <w:rFonts w:hint="eastAsia" w:asciiTheme="minorEastAsia" w:hAnsiTheme="minorEastAsia" w:eastAsiaTheme="minorEastAsia" w:cstheme="minorEastAsia"/>
          <w:b w:val="0"/>
          <w:bCs w:val="0"/>
          <w:i w:val="0"/>
          <w:vertAlign w:val="baseline"/>
        </w:rPr>
        <w:t>技术瓶颈：传统热解炉效率低，残炭率波动大</w:t>
      </w:r>
    </w:p>
    <w:p w14:paraId="4C1F4452">
      <w:pPr>
        <w:pStyle w:val="11"/>
        <w:numPr>
          <w:ilvl w:val="0"/>
          <w:numId w:val="0"/>
        </w:numPr>
        <w:bidi w:val="0"/>
        <w:ind w:firstLine="420" w:firstLineChars="0"/>
      </w:pPr>
      <w:r>
        <w:t>传统热解设备存在能效低、热场不均的问题，热解反应常因炉温控制不稳导致反应不充分，致使残炭率在25%-40%之间大幅波动。这不仅影响了炭产品的质量和一致性，也降低了整体稻壳转化效率，形成资源浪费。此外，部分热解炉在运行中还伴随焦油堵塞、热解气泄漏等问题，制约了工艺稳定性和规模化推广的可行性。</w:t>
      </w:r>
    </w:p>
    <w:p w14:paraId="6062BF6A">
      <w:pPr>
        <w:pStyle w:val="11"/>
        <w:widowControl/>
        <w:numPr>
          <w:ilvl w:val="0"/>
          <w:numId w:val="3"/>
        </w:numPr>
        <w:pBdr>
          <w:top w:val="none" w:color="auto" w:sz="0" w:space="0"/>
          <w:left w:val="none" w:color="auto" w:sz="0" w:space="0"/>
          <w:bottom w:val="none" w:color="auto" w:sz="0" w:space="0"/>
          <w:right w:val="none" w:color="auto" w:sz="0" w:space="0"/>
        </w:pBdr>
        <w:ind w:left="845" w:leftChars="0" w:hanging="425" w:firstLineChars="0"/>
        <w:rPr>
          <w:rFonts w:hint="eastAsia" w:asciiTheme="minorEastAsia" w:hAnsiTheme="minorEastAsia" w:eastAsiaTheme="minorEastAsia" w:cstheme="minorEastAsia"/>
          <w:b w:val="0"/>
          <w:bCs w:val="0"/>
          <w:i w:val="0"/>
          <w:vertAlign w:val="baseline"/>
        </w:rPr>
      </w:pPr>
      <w:r>
        <w:rPr>
          <w:rFonts w:hint="eastAsia" w:asciiTheme="minorEastAsia" w:hAnsiTheme="minorEastAsia" w:eastAsiaTheme="minorEastAsia" w:cstheme="minorEastAsia"/>
          <w:b w:val="0"/>
          <w:bCs w:val="0"/>
          <w:i w:val="0"/>
          <w:vertAlign w:val="baseline"/>
        </w:rPr>
        <w:t>工程衔接：物料输送系统堵塞频繁</w:t>
      </w:r>
    </w:p>
    <w:p w14:paraId="537B3529">
      <w:pPr>
        <w:pStyle w:val="11"/>
        <w:numPr>
          <w:ilvl w:val="0"/>
          <w:numId w:val="0"/>
        </w:numPr>
        <w:bidi w:val="0"/>
        <w:ind w:firstLine="420" w:firstLineChars="0"/>
      </w:pPr>
      <w:r>
        <w:t>在原有工艺流程中，稻壳等轻质疏松物料在输送过程易发生架桥、堆积现象，造成管道堵塞和系统停机。数据显示，物料输送系统每月因堵塞而中断运行高达15次，严重影响了生产节奏和设备连续性运行。特别是在风送或螺旋输送环节，缺乏适应性结构设计成为关键瓶颈，急需工程端的装备创新来破解这一难题。</w:t>
      </w:r>
    </w:p>
    <w:p w14:paraId="1A3E01D8">
      <w:pPr>
        <w:pStyle w:val="11"/>
        <w:widowControl/>
        <w:numPr>
          <w:ilvl w:val="0"/>
          <w:numId w:val="3"/>
        </w:numPr>
        <w:pBdr>
          <w:top w:val="none" w:color="auto" w:sz="0" w:space="0"/>
          <w:left w:val="none" w:color="auto" w:sz="0" w:space="0"/>
          <w:bottom w:val="none" w:color="auto" w:sz="0" w:space="0"/>
          <w:right w:val="none" w:color="auto" w:sz="0" w:space="0"/>
        </w:pBdr>
        <w:ind w:left="845" w:leftChars="0" w:hanging="425" w:firstLineChars="0"/>
        <w:rPr>
          <w:rFonts w:hint="eastAsia" w:asciiTheme="minorEastAsia" w:hAnsiTheme="minorEastAsia" w:eastAsiaTheme="minorEastAsia" w:cstheme="minorEastAsia"/>
          <w:b w:val="0"/>
          <w:bCs w:val="0"/>
          <w:i w:val="0"/>
          <w:vertAlign w:val="baseline"/>
        </w:rPr>
      </w:pPr>
      <w:r>
        <w:rPr>
          <w:rFonts w:hint="eastAsia" w:asciiTheme="minorEastAsia" w:hAnsiTheme="minorEastAsia" w:eastAsiaTheme="minorEastAsia" w:cstheme="minorEastAsia"/>
          <w:b w:val="0"/>
          <w:bCs w:val="0"/>
          <w:i w:val="0"/>
          <w:vertAlign w:val="baseline"/>
        </w:rPr>
        <w:t>经济性障碍：高端产品制造成本过高</w:t>
      </w:r>
    </w:p>
    <w:p w14:paraId="454C1F29">
      <w:pPr>
        <w:pStyle w:val="11"/>
        <w:numPr>
          <w:ilvl w:val="0"/>
          <w:numId w:val="0"/>
        </w:numPr>
        <w:bidi w:val="0"/>
        <w:ind w:firstLine="420" w:firstLineChars="0"/>
      </w:pPr>
      <w:r>
        <w:t>尽管项目产出的纳米级二氧化硅、炭材料等具有较高市场潜力，但在实际运行中，其制造成本普遍高出市场平均价约30%。主要原因在于原材料提纯环节能耗大、工艺复杂，且相关核心设备尚未完全国产化，需依赖进口设备与技术支持，造成初期投资大、回报周期长。这对项目的盈利能力和持续运营构成不小挑战。</w:t>
      </w:r>
    </w:p>
    <w:p w14:paraId="5555D4EC">
      <w:pPr>
        <w:pStyle w:val="11"/>
        <w:widowControl/>
        <w:numPr>
          <w:ilvl w:val="0"/>
          <w:numId w:val="3"/>
        </w:numPr>
        <w:pBdr>
          <w:top w:val="none" w:color="auto" w:sz="0" w:space="0"/>
          <w:left w:val="none" w:color="auto" w:sz="0" w:space="0"/>
          <w:bottom w:val="none" w:color="auto" w:sz="0" w:space="0"/>
          <w:right w:val="none" w:color="auto" w:sz="0" w:space="0"/>
        </w:pBdr>
        <w:ind w:left="845" w:leftChars="0" w:hanging="425" w:firstLineChars="0"/>
        <w:rPr>
          <w:rFonts w:hint="eastAsia" w:asciiTheme="minorEastAsia" w:hAnsiTheme="minorEastAsia" w:eastAsiaTheme="minorEastAsia" w:cstheme="minorEastAsia"/>
          <w:b w:val="0"/>
          <w:bCs w:val="0"/>
          <w:i w:val="0"/>
          <w:vertAlign w:val="baseline"/>
        </w:rPr>
      </w:pPr>
      <w:r>
        <w:rPr>
          <w:rFonts w:hint="eastAsia" w:asciiTheme="minorEastAsia" w:hAnsiTheme="minorEastAsia" w:eastAsiaTheme="minorEastAsia" w:cstheme="minorEastAsia"/>
          <w:b w:val="0"/>
          <w:bCs w:val="0"/>
          <w:i w:val="0"/>
          <w:vertAlign w:val="baseline"/>
        </w:rPr>
        <w:t>农户参与：稻壳收集运输成本过高</w:t>
      </w:r>
    </w:p>
    <w:p w14:paraId="668360FF">
      <w:pPr>
        <w:pStyle w:val="11"/>
        <w:numPr>
          <w:ilvl w:val="0"/>
          <w:numId w:val="0"/>
        </w:numPr>
        <w:bidi w:val="0"/>
        <w:ind w:firstLine="420" w:firstLineChars="0"/>
      </w:pPr>
      <w:r>
        <w:t>由于稻壳密度低、分布广，收集半径一旦超过50公里，运输成本便会高于物料价值，形成“成本倒挂”。这导致部分偏远区域农户失去参与积极性，影响了稻壳原料的稳定供应。同时，农户缺乏标准化存储与初筛设备，原料杂质高也给后续工艺带来处理负担。因此，亟需建立合理高效的收储体系，并借助合作社等组织优化物流效率，提升农户参与度。</w:t>
      </w:r>
    </w:p>
    <w:p w14:paraId="62175B1F">
      <w:pPr>
        <w:pStyle w:val="2"/>
        <w:keepNext/>
        <w:widowControl/>
        <w:numPr>
          <w:ilvl w:val="0"/>
          <w:numId w:val="1"/>
        </w:numPr>
        <w:ind w:left="0" w:leftChars="0" w:firstLine="0" w:firstLineChars="0"/>
        <w:rPr>
          <w:rFonts w:hint="eastAsia" w:asciiTheme="minorEastAsia" w:hAnsiTheme="minorEastAsia" w:eastAsiaTheme="minorEastAsia" w:cstheme="minorEastAsia"/>
          <w:b/>
        </w:rPr>
      </w:pPr>
      <w:r>
        <w:rPr>
          <w:rFonts w:hint="eastAsia" w:asciiTheme="minorEastAsia" w:hAnsiTheme="minorEastAsia" w:eastAsiaTheme="minorEastAsia" w:cstheme="minorEastAsia"/>
        </w:rPr>
        <w:t>案例研究</w:t>
      </w:r>
    </w:p>
    <w:p w14:paraId="32DA1621">
      <w:pPr>
        <w:pStyle w:val="3"/>
        <w:keepNext/>
        <w:widowControl/>
        <w:numPr>
          <w:ilvl w:val="0"/>
          <w:numId w:val="4"/>
        </w:numPr>
        <w:ind w:left="0" w:leftChars="0" w:firstLine="0" w:firstLineChars="0"/>
        <w:rPr>
          <w:rFonts w:hint="eastAsia" w:asciiTheme="minorEastAsia" w:hAnsiTheme="minorEastAsia" w:eastAsiaTheme="minorEastAsia" w:cstheme="minorEastAsia"/>
          <w:b/>
        </w:rPr>
      </w:pPr>
      <w:r>
        <w:rPr>
          <w:rFonts w:hint="eastAsia" w:asciiTheme="minorEastAsia" w:hAnsiTheme="minorEastAsia" w:eastAsiaTheme="minorEastAsia" w:cstheme="minorEastAsia"/>
        </w:rPr>
        <w:t>研究思路</w:t>
      </w:r>
    </w:p>
    <w:p w14:paraId="01BAE65B">
      <w:pPr>
        <w:pStyle w:val="4"/>
        <w:bidi w:val="0"/>
      </w:pPr>
      <w:r>
        <w:t>2.1</w:t>
      </w:r>
      <w:r>
        <w:rPr>
          <w:rFonts w:hint="default"/>
          <w:lang w:val="en-US"/>
        </w:rPr>
        <w:t>.1</w:t>
      </w:r>
      <w:r>
        <w:t xml:space="preserve"> 研究内容</w:t>
      </w:r>
    </w:p>
    <w:p w14:paraId="5B190034">
      <w:pPr>
        <w:pStyle w:val="11"/>
        <w:bidi w:val="0"/>
      </w:pPr>
      <w:r>
        <w:t>以金糠公司稻壳多联产项目为对象，围绕“技术可行、工程可控、经济合理、农户可参与”四大目标展开。研究内容主要聚焦以下四个方面：</w:t>
      </w:r>
    </w:p>
    <w:p w14:paraId="57959307">
      <w:pPr>
        <w:pStyle w:val="11"/>
        <w:numPr>
          <w:ilvl w:val="0"/>
          <w:numId w:val="5"/>
        </w:numPr>
        <w:bidi w:val="0"/>
        <w:ind w:left="845" w:leftChars="0" w:hanging="425" w:firstLineChars="0"/>
      </w:pPr>
      <w:r>
        <w:t>生产过程中的关键工程风险识别与评估：结合热解工艺、材料提取和多联产集成系统，分析设备、流程、温控、原料波动等引发的技术性与操作性风险。</w:t>
      </w:r>
    </w:p>
    <w:p w14:paraId="0A2869B6">
      <w:pPr>
        <w:pStyle w:val="11"/>
        <w:numPr>
          <w:ilvl w:val="0"/>
          <w:numId w:val="5"/>
        </w:numPr>
        <w:bidi w:val="0"/>
        <w:ind w:left="845" w:leftChars="0" w:hanging="425" w:firstLineChars="0"/>
      </w:pPr>
      <w:r>
        <w:t>物流与供应链组织优化：分析稻壳收储环节中的成本结构、行为激励问题，基于风险行为理论与供应链网络模型，设计更具可行性的收储模式。</w:t>
      </w:r>
    </w:p>
    <w:p w14:paraId="52AFA8AD">
      <w:pPr>
        <w:pStyle w:val="11"/>
        <w:numPr>
          <w:ilvl w:val="0"/>
          <w:numId w:val="5"/>
        </w:numPr>
        <w:bidi w:val="0"/>
        <w:ind w:left="845" w:leftChars="0" w:hanging="425" w:firstLineChars="0"/>
      </w:pPr>
      <w:r>
        <w:t>流程耦合与系统集成再设计：利用系统工程与价值工程思想，分析热解单元与精制系统之间的物料流错配问题，构建协同优化的再设计方案。</w:t>
      </w:r>
    </w:p>
    <w:p w14:paraId="3AF85D88">
      <w:pPr>
        <w:pStyle w:val="11"/>
        <w:numPr>
          <w:ilvl w:val="0"/>
          <w:numId w:val="5"/>
        </w:numPr>
        <w:bidi w:val="0"/>
        <w:ind w:left="845" w:leftChars="0" w:hanging="425" w:firstLineChars="0"/>
      </w:pPr>
      <w:r>
        <w:t>商业结构与产品价值链延伸：分析当前单一盈利模式的风险，基于风险经济学原理设计多维价值链模型，实现不同产品线协同发展。</w:t>
      </w:r>
    </w:p>
    <w:p w14:paraId="5721644A">
      <w:pPr>
        <w:pStyle w:val="4"/>
        <w:bidi w:val="0"/>
      </w:pPr>
      <w:r>
        <w:t>2.</w:t>
      </w:r>
      <w:r>
        <w:rPr>
          <w:rFonts w:hint="default"/>
          <w:lang w:val="en-US"/>
        </w:rPr>
        <w:t>1.2</w:t>
      </w:r>
      <w:r>
        <w:t xml:space="preserve"> 技术路线</w:t>
      </w:r>
    </w:p>
    <w:p w14:paraId="06723F53">
      <w:pPr>
        <w:pStyle w:val="11"/>
        <w:bidi w:val="0"/>
      </w:pPr>
      <w:r>
        <w:t>研究</w:t>
      </w:r>
      <w:r>
        <w:rPr>
          <w:rFonts w:hint="eastAsia"/>
          <w:lang w:val="en-US" w:eastAsia="zh-CN"/>
        </w:rPr>
        <w:t>小组</w:t>
      </w:r>
      <w:r>
        <w:t>基于工程管理理论框架，综合使用实证调研与定量分析相结合的方法，设计如下技术路线：</w:t>
      </w:r>
    </w:p>
    <w:p w14:paraId="1BD407B7">
      <w:pPr>
        <w:pStyle w:val="11"/>
        <w:numPr>
          <w:ilvl w:val="0"/>
          <w:numId w:val="6"/>
        </w:numPr>
        <w:bidi w:val="0"/>
      </w:pPr>
      <w:r>
        <w:t>问题识别与系统建模</w:t>
      </w:r>
    </w:p>
    <w:p w14:paraId="318F3B52">
      <w:pPr>
        <w:pStyle w:val="11"/>
        <w:bidi w:val="0"/>
      </w:pPr>
      <w:r>
        <w:t>采用流程图法和因果分析法梳理全流程；</w:t>
      </w:r>
    </w:p>
    <w:p w14:paraId="12E27193">
      <w:pPr>
        <w:pStyle w:val="11"/>
        <w:bidi w:val="0"/>
      </w:pPr>
      <w:r>
        <w:t>构建热解系统运行逻辑模型与产能平衡模型。</w:t>
      </w:r>
    </w:p>
    <w:p w14:paraId="0B1AE0EE">
      <w:pPr>
        <w:pStyle w:val="11"/>
        <w:numPr>
          <w:ilvl w:val="0"/>
          <w:numId w:val="6"/>
        </w:numPr>
        <w:bidi w:val="0"/>
      </w:pPr>
      <w:r>
        <w:rPr>
          <w:rFonts w:eastAsia="宋体"/>
        </w:rPr>
        <w:t>风险识别与等级评估</w:t>
      </w:r>
    </w:p>
    <w:p w14:paraId="6D518465">
      <w:pPr>
        <w:pStyle w:val="11"/>
        <w:bidi w:val="0"/>
      </w:pPr>
      <w:r>
        <w:t>运用风险矩阵与模糊层次分析（FAHP）评估热控波动、堵塞频次、收储失败等多重风险等级；</w:t>
      </w:r>
    </w:p>
    <w:p w14:paraId="49742338">
      <w:pPr>
        <w:pStyle w:val="11"/>
        <w:bidi w:val="0"/>
      </w:pPr>
      <w:r>
        <w:t>引入敏感性分析法识别关键变量。</w:t>
      </w:r>
    </w:p>
    <w:p w14:paraId="6CDFCE3E">
      <w:pPr>
        <w:pStyle w:val="11"/>
        <w:numPr>
          <w:ilvl w:val="0"/>
          <w:numId w:val="6"/>
        </w:numPr>
        <w:bidi w:val="0"/>
      </w:pPr>
      <w:r>
        <w:rPr>
          <w:rFonts w:eastAsia="宋体"/>
        </w:rPr>
        <w:t>流程再造与资源优化</w:t>
      </w:r>
    </w:p>
    <w:p w14:paraId="234D5C67">
      <w:pPr>
        <w:pStyle w:val="11"/>
        <w:bidi w:val="0"/>
      </w:pPr>
      <w:r>
        <w:t>应用价值工程（VE）方法对预处理、热解、深加工各环节进行功能-成本分析；</w:t>
      </w:r>
    </w:p>
    <w:p w14:paraId="43FF897E">
      <w:pPr>
        <w:pStyle w:val="11"/>
        <w:bidi w:val="0"/>
      </w:pPr>
      <w:r>
        <w:t>利用BIM+仿真平台重构厂区布局与工艺路径。</w:t>
      </w:r>
    </w:p>
    <w:p w14:paraId="450655E2">
      <w:pPr>
        <w:pStyle w:val="11"/>
        <w:numPr>
          <w:ilvl w:val="0"/>
          <w:numId w:val="6"/>
        </w:numPr>
        <w:bidi w:val="0"/>
      </w:pPr>
      <w:r>
        <w:rPr>
          <w:rFonts w:eastAsia="宋体"/>
        </w:rPr>
        <w:t>供应链行为分析与激励模型设计</w:t>
      </w:r>
    </w:p>
    <w:p w14:paraId="21096498">
      <w:pPr>
        <w:pStyle w:val="11"/>
        <w:bidi w:val="0"/>
      </w:pPr>
      <w:r>
        <w:t>引入风险行为理论与博弈模型分析农户参与意愿与原料供应风险；</w:t>
      </w:r>
    </w:p>
    <w:p w14:paraId="5FE47766">
      <w:pPr>
        <w:pStyle w:val="11"/>
        <w:bidi w:val="0"/>
      </w:pPr>
      <w:r>
        <w:t>设计“农户-合作社-企业”三级激励机制，优化供给网络。</w:t>
      </w:r>
    </w:p>
    <w:p w14:paraId="1A43BD27">
      <w:pPr>
        <w:pStyle w:val="11"/>
        <w:numPr>
          <w:ilvl w:val="0"/>
          <w:numId w:val="6"/>
        </w:numPr>
        <w:bidi w:val="0"/>
      </w:pPr>
      <w:r>
        <w:rPr>
          <w:rFonts w:eastAsia="宋体"/>
        </w:rPr>
        <w:t>综合绩效评估系统建立</w:t>
      </w:r>
    </w:p>
    <w:p w14:paraId="6EC8ACAB">
      <w:pPr>
        <w:pStyle w:val="11"/>
        <w:bidi w:val="0"/>
      </w:pPr>
      <w:r>
        <w:t>设计涵盖技术指标（热解效率、能耗）、经济指标（毛利率、单位成本）、社会指标（农户参与率、减排量）的综合绩效模型；</w:t>
      </w:r>
    </w:p>
    <w:p w14:paraId="22B22EB5">
      <w:pPr>
        <w:pStyle w:val="11"/>
        <w:bidi w:val="0"/>
        <w:rPr>
          <w:rFonts w:hint="default"/>
          <w:lang w:val="en-US" w:eastAsia="zh-CN"/>
        </w:rPr>
      </w:pPr>
      <w:r>
        <w:t>构建PDCA闭环机制，确保持续优化。</w:t>
      </w:r>
    </w:p>
    <w:p w14:paraId="6BE9831F">
      <w:pPr>
        <w:pStyle w:val="3"/>
        <w:keepNext/>
        <w:widowControl/>
        <w:numPr>
          <w:ilvl w:val="0"/>
          <w:numId w:val="4"/>
        </w:numPr>
        <w:ind w:left="0" w:leftChars="0" w:firstLine="0" w:firstLineChars="0"/>
        <w:rPr>
          <w:rFonts w:hint="eastAsia" w:asciiTheme="minorEastAsia" w:hAnsiTheme="minorEastAsia" w:eastAsiaTheme="minorEastAsia" w:cstheme="minorEastAsia"/>
          <w:b/>
        </w:rPr>
      </w:pPr>
      <w:r>
        <w:rPr>
          <w:rFonts w:hint="eastAsia" w:asciiTheme="minorEastAsia" w:hAnsiTheme="minorEastAsia" w:eastAsiaTheme="minorEastAsia" w:cstheme="minorEastAsia"/>
        </w:rPr>
        <w:t>研究过程及方法</w:t>
      </w:r>
    </w:p>
    <w:p w14:paraId="0AE60CD5">
      <w:pPr>
        <w:pStyle w:val="11"/>
        <w:bidi w:val="0"/>
      </w:pPr>
      <w:r>
        <w:t>从“识别问题—理论建模—实践调研—方案设计—绩效评估”五个阶段展开，综合运用定性分析与定量建模相结合的方法。具体如下：</w:t>
      </w:r>
    </w:p>
    <w:p w14:paraId="5E5634E7">
      <w:pPr>
        <w:pStyle w:val="11"/>
        <w:bidi w:val="0"/>
      </w:pPr>
      <w:r>
        <w:t>第一阶段：问题识别与全流程建模</w:t>
      </w:r>
      <w:r>
        <w:br w:type="textWrapping"/>
      </w:r>
      <w:r>
        <w:rPr>
          <w:rFonts w:hint="eastAsia"/>
          <w:lang w:val="en-US" w:eastAsia="zh-CN"/>
        </w:rPr>
        <w:tab/>
      </w:r>
      <w:r>
        <w:t>通过实地调研金糠公司生产基地，收集设备运行数据、操作流程图和运维记录，结合BIM模型重建整条生产链的逻辑流程。对“预处理—热解—深加工”三个阶段进行功能分解，绘制SIPOC模型与流程价值流图（VSM），初步识别出热控不稳定、物料堵塞、产线衔接失衡等问题。</w:t>
      </w:r>
    </w:p>
    <w:p w14:paraId="349C9389">
      <w:pPr>
        <w:pStyle w:val="11"/>
        <w:bidi w:val="0"/>
      </w:pPr>
      <w:r>
        <w:t>第二阶段：风险评估与行为建模</w:t>
      </w:r>
      <w:r>
        <w:br w:type="textWrapping"/>
      </w:r>
      <w:r>
        <w:rPr>
          <w:rFonts w:hint="eastAsia"/>
          <w:lang w:val="en-US" w:eastAsia="zh-CN"/>
        </w:rPr>
        <w:tab/>
      </w:r>
      <w:r>
        <w:t>运用风险矩阵法对工程、技术、原料收集和运营风险进行评级。针对农户参与率低的问题，引入风险行为理论构建“参与意愿-收益预期-行动成本”博弈模型，模拟农户是否参与收储的行为路径，并提出提升参与率的最小激励边界。</w:t>
      </w:r>
    </w:p>
    <w:p w14:paraId="1750B053">
      <w:pPr>
        <w:pStyle w:val="11"/>
        <w:bidi w:val="0"/>
      </w:pPr>
      <w:r>
        <w:t>第三阶段：系统再设计与流程优化</w:t>
      </w:r>
      <w:r>
        <w:br w:type="textWrapping"/>
      </w:r>
      <w:r>
        <w:rPr>
          <w:rFonts w:hint="eastAsia"/>
          <w:lang w:val="en-US" w:eastAsia="zh-CN"/>
        </w:rPr>
        <w:tab/>
      </w:r>
      <w:r>
        <w:t>结合TRIZ工程矛盾分析与价值工程方法，对现有物料处理设备结构与产线布置方案进行优化，设计“双螺旋-低阻输送”改良型通道，降低堵塞率；并对热解工艺参数进行DOE实验设计法模拟，寻找最佳运行区间，稳定出炭率与热解效率。</w:t>
      </w:r>
    </w:p>
    <w:p w14:paraId="0F16DEE0">
      <w:pPr>
        <w:pStyle w:val="11"/>
        <w:bidi w:val="0"/>
      </w:pPr>
      <w:r>
        <w:t>第四阶段：供应链重构与激励机制设计</w:t>
      </w:r>
      <w:r>
        <w:br w:type="textWrapping"/>
      </w:r>
      <w:r>
        <w:rPr>
          <w:rFonts w:hint="eastAsia"/>
          <w:lang w:val="en-US" w:eastAsia="zh-CN"/>
        </w:rPr>
        <w:tab/>
      </w:r>
      <w:r>
        <w:t>研究金糠公司当前稻壳原料收集体系，发现半径过大导致的运输成本倒挂问题。提出设立“共建型村级稻壳收储点+动态补贴+智能配送系统”的新型供应网络，并借助农户信用积分、分级议价策略激励原料供给稳定。</w:t>
      </w:r>
    </w:p>
    <w:p w14:paraId="3F771720">
      <w:pPr>
        <w:pStyle w:val="11"/>
        <w:bidi w:val="0"/>
        <w:rPr>
          <w:rFonts w:hint="eastAsia"/>
        </w:rPr>
      </w:pPr>
      <w:r>
        <w:t>第五阶段：绩效评估与反馈循环</w:t>
      </w:r>
      <w:r>
        <w:br w:type="textWrapping"/>
      </w:r>
      <w:r>
        <w:rPr>
          <w:rFonts w:hint="eastAsia"/>
          <w:lang w:val="en-US" w:eastAsia="zh-CN"/>
        </w:rPr>
        <w:tab/>
      </w:r>
      <w:r>
        <w:t>构建基于关键绩效指标（KPI）的三维评价体系，涵盖技术绩效（热解效率、纯度）、经济绩效（单位收益、成本占比）、社会绩效（减排量、农户参与率等），并通过PDCA循环机制建立常态化调整机制，确保技术方案能够长期落地与持续改进。</w:t>
      </w:r>
    </w:p>
    <w:p w14:paraId="6F00B47C">
      <w:pPr>
        <w:pStyle w:val="3"/>
        <w:keepNext/>
        <w:widowControl/>
        <w:numPr>
          <w:ilvl w:val="0"/>
          <w:numId w:val="4"/>
        </w:numPr>
        <w:ind w:left="0" w:leftChars="0" w:firstLine="0" w:firstLineChars="0"/>
        <w:rPr>
          <w:rFonts w:hint="eastAsia" w:asciiTheme="minorEastAsia" w:hAnsiTheme="minorEastAsia" w:eastAsiaTheme="minorEastAsia" w:cstheme="minorEastAsia"/>
          <w:b/>
        </w:rPr>
      </w:pPr>
      <w:r>
        <w:rPr>
          <w:rFonts w:hint="eastAsia" w:asciiTheme="minorEastAsia" w:hAnsiTheme="minorEastAsia" w:eastAsiaTheme="minorEastAsia" w:cstheme="minorEastAsia"/>
        </w:rPr>
        <w:t>主要成果</w:t>
      </w:r>
    </w:p>
    <w:p w14:paraId="742E081C">
      <w:pPr>
        <w:pStyle w:val="11"/>
        <w:numPr>
          <w:ilvl w:val="0"/>
          <w:numId w:val="7"/>
        </w:numPr>
        <w:bidi w:val="0"/>
        <w:ind w:left="845" w:leftChars="0" w:hanging="425" w:firstLineChars="0"/>
      </w:pPr>
      <w:r>
        <w:t>技术优化成果</w:t>
      </w:r>
    </w:p>
    <w:p w14:paraId="0E6F9F80">
      <w:pPr>
        <w:pStyle w:val="11"/>
        <w:numPr>
          <w:ilvl w:val="0"/>
          <w:numId w:val="0"/>
        </w:numPr>
        <w:bidi w:val="0"/>
        <w:ind w:firstLine="420" w:firstLineChars="0"/>
      </w:pPr>
      <w:r>
        <w:t>通过热解参数优化与设备结构改造，热解效率由58%提升至82%，残炭率稳定控制在12%以内；</w:t>
      </w:r>
    </w:p>
    <w:p w14:paraId="49BBE632">
      <w:pPr>
        <w:pStyle w:val="11"/>
        <w:numPr>
          <w:ilvl w:val="0"/>
          <w:numId w:val="0"/>
        </w:numPr>
        <w:bidi w:val="0"/>
        <w:ind w:firstLine="420" w:firstLineChars="0"/>
      </w:pPr>
      <w:r>
        <w:t>开发多级旋风除尘装置，炭粉回收率由92%提升至99.7%；</w:t>
      </w:r>
    </w:p>
    <w:p w14:paraId="292C8FFD">
      <w:pPr>
        <w:pStyle w:val="11"/>
        <w:numPr>
          <w:ilvl w:val="0"/>
          <w:numId w:val="0"/>
        </w:numPr>
        <w:bidi w:val="0"/>
        <w:ind w:firstLine="420" w:firstLineChars="0"/>
      </w:pPr>
      <w:r>
        <w:t>热控系统智能化改造后，单吨产品能耗降低19%。</w:t>
      </w:r>
    </w:p>
    <w:p w14:paraId="161A6917">
      <w:pPr>
        <w:pStyle w:val="11"/>
        <w:numPr>
          <w:ilvl w:val="0"/>
          <w:numId w:val="7"/>
        </w:numPr>
        <w:bidi w:val="0"/>
        <w:ind w:left="845" w:leftChars="0" w:hanging="425" w:firstLineChars="0"/>
      </w:pPr>
      <w:r>
        <w:t>工程管理优化成果</w:t>
      </w:r>
    </w:p>
    <w:p w14:paraId="5CE15D3C">
      <w:pPr>
        <w:pStyle w:val="11"/>
        <w:numPr>
          <w:ilvl w:val="0"/>
          <w:numId w:val="0"/>
        </w:numPr>
        <w:bidi w:val="0"/>
        <w:ind w:firstLine="420" w:firstLineChars="0"/>
        <w:rPr>
          <w:rFonts w:hint="eastAsia" w:ascii="Segoe UI" w:hAnsi="Segoe UI" w:eastAsia="宋体" w:cs="Segoe UI"/>
          <w:i w:val="0"/>
          <w:iCs w:val="0"/>
          <w:caps w:val="0"/>
          <w:spacing w:val="0"/>
          <w:sz w:val="24"/>
          <w:szCs w:val="24"/>
          <w:shd w:val="clear" w:fill="FCFCFC"/>
          <w:lang w:eastAsia="zh-CN"/>
        </w:rPr>
      </w:pPr>
      <w:r>
        <w:rPr>
          <w:rFonts w:ascii="Segoe UI" w:hAnsi="Segoe UI" w:eastAsia="Segoe UI" w:cs="Segoe UI"/>
          <w:i w:val="0"/>
          <w:iCs w:val="0"/>
          <w:caps w:val="0"/>
          <w:spacing w:val="0"/>
          <w:sz w:val="24"/>
          <w:szCs w:val="24"/>
          <w:shd w:val="clear" w:fill="FCFCFC"/>
        </w:rPr>
        <w:t>基于现有建筑模型分析改造可行性</w:t>
      </w:r>
      <w:r>
        <w:rPr>
          <w:rFonts w:hint="eastAsia" w:ascii="Segoe UI" w:hAnsi="Segoe UI" w:cs="Segoe UI"/>
          <w:i w:val="0"/>
          <w:iCs w:val="0"/>
          <w:caps w:val="0"/>
          <w:spacing w:val="0"/>
          <w:sz w:val="24"/>
          <w:szCs w:val="24"/>
          <w:shd w:val="clear" w:fill="FCFCFC"/>
          <w:lang w:eastAsia="zh-CN"/>
        </w:rPr>
        <w:t>，</w:t>
      </w:r>
      <w:r>
        <w:rPr>
          <w:rFonts w:ascii="Segoe UI" w:hAnsi="Segoe UI" w:eastAsia="Segoe UI" w:cs="Segoe UI"/>
          <w:i w:val="0"/>
          <w:iCs w:val="0"/>
          <w:caps w:val="0"/>
          <w:spacing w:val="0"/>
          <w:sz w:val="24"/>
          <w:szCs w:val="24"/>
          <w:shd w:val="clear" w:fill="FCFCFC"/>
        </w:rPr>
        <w:t>通过BIM逆向建模</w:t>
      </w:r>
      <w:r>
        <w:rPr>
          <w:rFonts w:hint="eastAsia" w:ascii="Segoe UI" w:hAnsi="Segoe UI" w:cs="Segoe UI"/>
          <w:i w:val="0"/>
          <w:iCs w:val="0"/>
          <w:caps w:val="0"/>
          <w:spacing w:val="0"/>
          <w:sz w:val="24"/>
          <w:szCs w:val="24"/>
          <w:shd w:val="clear" w:fill="FCFCFC"/>
          <w:lang w:eastAsia="zh-CN"/>
        </w:rPr>
        <w:t>，</w:t>
      </w:r>
      <w:r>
        <w:rPr>
          <w:rFonts w:ascii="Segoe UI" w:hAnsi="Segoe UI" w:eastAsia="Segoe UI" w:cs="Segoe UI"/>
          <w:i w:val="0"/>
          <w:iCs w:val="0"/>
          <w:caps w:val="0"/>
          <w:spacing w:val="0"/>
          <w:sz w:val="24"/>
          <w:szCs w:val="24"/>
          <w:shd w:val="clear" w:fill="FCFCFC"/>
        </w:rPr>
        <w:t>建立数字底座后实施优化</w:t>
      </w:r>
      <w:r>
        <w:rPr>
          <w:rFonts w:hint="eastAsia" w:ascii="Segoe UI" w:hAnsi="Segoe UI" w:cs="Segoe UI"/>
          <w:i w:val="0"/>
          <w:iCs w:val="0"/>
          <w:caps w:val="0"/>
          <w:spacing w:val="0"/>
          <w:sz w:val="24"/>
          <w:szCs w:val="24"/>
          <w:shd w:val="clear" w:fill="FCFCFC"/>
          <w:lang w:eastAsia="zh-CN"/>
        </w:rPr>
        <w:t>，</w:t>
      </w:r>
      <w:r>
        <w:rPr>
          <w:rFonts w:ascii="Segoe UI" w:hAnsi="Segoe UI" w:eastAsia="Segoe UI" w:cs="Segoe UI"/>
          <w:i w:val="0"/>
          <w:iCs w:val="0"/>
          <w:caps w:val="0"/>
          <w:spacing w:val="0"/>
          <w:sz w:val="24"/>
          <w:szCs w:val="24"/>
          <w:shd w:val="clear" w:fill="FCFCFC"/>
        </w:rPr>
        <w:t>降低试错成本、提升空间效率、增强柔性生产能力</w:t>
      </w:r>
      <w:r>
        <w:rPr>
          <w:rFonts w:hint="eastAsia" w:ascii="Segoe UI" w:hAnsi="Segoe UI" w:cs="Segoe UI"/>
          <w:i w:val="0"/>
          <w:iCs w:val="0"/>
          <w:caps w:val="0"/>
          <w:spacing w:val="0"/>
          <w:sz w:val="24"/>
          <w:szCs w:val="24"/>
          <w:shd w:val="clear" w:fill="FCFCFC"/>
          <w:lang w:eastAsia="zh-CN"/>
        </w:rPr>
        <w:t>。</w:t>
      </w:r>
    </w:p>
    <w:p w14:paraId="1544152D">
      <w:pPr>
        <w:pStyle w:val="11"/>
        <w:numPr>
          <w:ilvl w:val="0"/>
          <w:numId w:val="0"/>
        </w:numPr>
        <w:bidi w:val="0"/>
        <w:ind w:firstLine="420" w:firstLineChars="0"/>
      </w:pPr>
      <w:r>
        <w:t>实施“流程同步+节点联动”机制，解决产线间衔接失衡问题，堵塞率由15次/月下降至0.3次/月；</w:t>
      </w:r>
    </w:p>
    <w:p w14:paraId="087BB41D">
      <w:pPr>
        <w:pStyle w:val="11"/>
        <w:numPr>
          <w:ilvl w:val="0"/>
          <w:numId w:val="0"/>
        </w:numPr>
        <w:bidi w:val="0"/>
        <w:ind w:firstLine="420" w:firstLineChars="0"/>
      </w:pPr>
      <w:r>
        <w:t>引入价值工程分析方法，识别并剔除3项高成本低价值工序，节约建设成本约230万元。</w:t>
      </w:r>
    </w:p>
    <w:p w14:paraId="7605A19C">
      <w:pPr>
        <w:pStyle w:val="11"/>
        <w:numPr>
          <w:ilvl w:val="0"/>
          <w:numId w:val="7"/>
        </w:numPr>
        <w:bidi w:val="0"/>
        <w:ind w:left="845" w:leftChars="0" w:hanging="425" w:firstLineChars="0"/>
      </w:pPr>
      <w:r>
        <w:t>农户供应链优化成果</w:t>
      </w:r>
    </w:p>
    <w:p w14:paraId="1EEE668B">
      <w:pPr>
        <w:pStyle w:val="11"/>
        <w:numPr>
          <w:ilvl w:val="0"/>
          <w:numId w:val="0"/>
        </w:numPr>
        <w:bidi w:val="0"/>
        <w:ind w:firstLine="420" w:firstLineChars="0"/>
      </w:pPr>
      <w:r>
        <w:t>设立17个村级收储点，实现50公里半径内原料覆盖率91%，运输成本降低约20%；</w:t>
      </w:r>
    </w:p>
    <w:p w14:paraId="121DB739">
      <w:pPr>
        <w:pStyle w:val="11"/>
        <w:numPr>
          <w:ilvl w:val="0"/>
          <w:numId w:val="0"/>
        </w:numPr>
        <w:bidi w:val="0"/>
        <w:ind w:firstLine="420" w:firstLineChars="0"/>
      </w:pPr>
      <w:r>
        <w:t>农户原料参与率由不到60%提升至89%，年均增收2300万元；</w:t>
      </w:r>
    </w:p>
    <w:p w14:paraId="04086657">
      <w:pPr>
        <w:pStyle w:val="11"/>
        <w:numPr>
          <w:ilvl w:val="0"/>
          <w:numId w:val="0"/>
        </w:numPr>
        <w:bidi w:val="0"/>
        <w:ind w:firstLine="420" w:firstLineChars="0"/>
      </w:pPr>
      <w:r>
        <w:t>设计差异化收购机制与共建激励模式，提升农户忠诚度和合作意愿。</w:t>
      </w:r>
    </w:p>
    <w:p w14:paraId="3F4A7DEB">
      <w:pPr>
        <w:pStyle w:val="11"/>
        <w:numPr>
          <w:ilvl w:val="0"/>
          <w:numId w:val="7"/>
        </w:numPr>
        <w:bidi w:val="0"/>
        <w:ind w:left="845" w:leftChars="0" w:hanging="425" w:firstLineChars="0"/>
      </w:pPr>
      <w:r>
        <w:t>综合经济与环境绩效</w:t>
      </w:r>
    </w:p>
    <w:p w14:paraId="67A3AB45">
      <w:pPr>
        <w:pStyle w:val="11"/>
        <w:numPr>
          <w:ilvl w:val="0"/>
          <w:numId w:val="0"/>
        </w:numPr>
        <w:bidi w:val="0"/>
        <w:ind w:firstLine="420" w:firstLineChars="0"/>
      </w:pPr>
      <w:r>
        <w:t>项目整体毛利率由28%提升至41.7%，高值产品（白炭黑、炭基肥）占比提升；</w:t>
      </w:r>
    </w:p>
    <w:p w14:paraId="5A4BCFF2">
      <w:pPr>
        <w:pStyle w:val="11"/>
        <w:numPr>
          <w:ilvl w:val="0"/>
          <w:numId w:val="0"/>
        </w:numPr>
        <w:bidi w:val="0"/>
        <w:ind w:firstLine="420" w:firstLineChars="0"/>
      </w:pPr>
      <w:r>
        <w:t>年度碳减排量达6.8万吨，入选地方“双碳”示范项目；</w:t>
      </w:r>
    </w:p>
    <w:p w14:paraId="05EF3F67">
      <w:pPr>
        <w:pStyle w:val="11"/>
        <w:numPr>
          <w:ilvl w:val="0"/>
          <w:numId w:val="0"/>
        </w:numPr>
        <w:bidi w:val="0"/>
        <w:ind w:firstLine="420" w:firstLineChars="0"/>
      </w:pPr>
      <w:r>
        <w:t>为区域循环农业、绿色制造提供可复制范式。</w:t>
      </w:r>
    </w:p>
    <w:p w14:paraId="2539425A">
      <w:pPr>
        <w:pStyle w:val="2"/>
        <w:keepNext/>
        <w:widowControl/>
        <w:numPr>
          <w:ilvl w:val="0"/>
          <w:numId w:val="1"/>
        </w:numPr>
        <w:ind w:left="0" w:leftChars="0" w:firstLine="0" w:firstLineChars="0"/>
        <w:rPr>
          <w:rFonts w:hint="eastAsia" w:asciiTheme="minorEastAsia" w:hAnsiTheme="minorEastAsia" w:eastAsiaTheme="minorEastAsia" w:cstheme="minorEastAsia"/>
          <w:b/>
        </w:rPr>
      </w:pPr>
      <w:r>
        <w:rPr>
          <w:rFonts w:hint="eastAsia" w:asciiTheme="minorEastAsia" w:hAnsiTheme="minorEastAsia" w:eastAsiaTheme="minorEastAsia" w:cstheme="minorEastAsia"/>
        </w:rPr>
        <w:t>案例讨论与启示</w:t>
      </w:r>
    </w:p>
    <w:p w14:paraId="6DE9F0CD">
      <w:pPr>
        <w:pStyle w:val="11"/>
        <w:numPr>
          <w:ilvl w:val="0"/>
          <w:numId w:val="8"/>
        </w:numPr>
        <w:bidi w:val="0"/>
        <w:ind w:left="845" w:leftChars="0" w:hanging="425" w:firstLineChars="0"/>
        <w:rPr>
          <w:rFonts w:hint="eastAsia"/>
        </w:rPr>
      </w:pPr>
      <w:r>
        <w:rPr>
          <w:rFonts w:hint="eastAsia"/>
        </w:rPr>
        <w:t>农业废弃物工程管理体系构建需强化系统集成理念。</w:t>
      </w:r>
    </w:p>
    <w:p w14:paraId="6F19D7F6">
      <w:pPr>
        <w:pStyle w:val="11"/>
        <w:numPr>
          <w:ilvl w:val="0"/>
          <w:numId w:val="0"/>
        </w:numPr>
        <w:bidi w:val="0"/>
        <w:ind w:firstLine="420" w:firstLineChars="0"/>
      </w:pPr>
      <w:r>
        <w:t>稻壳多联产涉及原料收储、能源转换、材料深加工等多个复杂子系统。传统“单点突破”策略难以保障系统整体效能的最优发挥。本项目借助系统工程与流程优化方法，打通技术链与管理链之间的衔接壁垒，提升了整体协同效率。这表明在农业固废资源化领域，必须构建以协同为核心的管理集成机制。</w:t>
      </w:r>
    </w:p>
    <w:p w14:paraId="0DD5C203">
      <w:pPr>
        <w:pStyle w:val="11"/>
        <w:numPr>
          <w:ilvl w:val="0"/>
          <w:numId w:val="8"/>
        </w:numPr>
        <w:bidi w:val="0"/>
        <w:ind w:left="845" w:leftChars="0" w:hanging="425" w:firstLineChars="0"/>
      </w:pPr>
      <w:r>
        <w:t>供应链韧性提升</w:t>
      </w:r>
      <w:r>
        <w:rPr>
          <w:rFonts w:hint="eastAsia"/>
        </w:rPr>
        <w:t>离不开</w:t>
      </w:r>
      <w:r>
        <w:t>行为机制设计。</w:t>
      </w:r>
    </w:p>
    <w:p w14:paraId="371EAC9F">
      <w:pPr>
        <w:pStyle w:val="11"/>
        <w:numPr>
          <w:ilvl w:val="0"/>
          <w:numId w:val="0"/>
        </w:numPr>
        <w:bidi w:val="0"/>
        <w:ind w:firstLine="420" w:firstLineChars="0"/>
      </w:pPr>
      <w:r>
        <w:t>农业原料端的不稳定性一直是资源化工厂的痛点。本研究通过引入风险行为理论与博弈模型，识别影响农户参与的心理变量，并设计差异化激励机制，显著提高了原料供应的及时性与可靠性。可见在类似项目中，农户不仅是物料提供者，更是系统的一环，应从激励、培训、共建等方面系统培育其合作粘性。</w:t>
      </w:r>
    </w:p>
    <w:p w14:paraId="42F51252">
      <w:pPr>
        <w:pStyle w:val="11"/>
        <w:numPr>
          <w:ilvl w:val="0"/>
          <w:numId w:val="8"/>
        </w:numPr>
        <w:bidi w:val="0"/>
        <w:ind w:left="845" w:leftChars="0" w:hanging="425" w:firstLineChars="0"/>
        <w:rPr>
          <w:rFonts w:hint="eastAsia"/>
        </w:rPr>
      </w:pPr>
      <w:r>
        <w:rPr>
          <w:rFonts w:hint="eastAsia"/>
        </w:rPr>
        <w:t>多维绩效评估机制助力绿色项目提质增效。</w:t>
      </w:r>
    </w:p>
    <w:p w14:paraId="000F7766">
      <w:pPr>
        <w:pStyle w:val="11"/>
        <w:numPr>
          <w:ilvl w:val="0"/>
          <w:numId w:val="0"/>
        </w:numPr>
        <w:bidi w:val="0"/>
        <w:ind w:firstLine="420" w:firstLineChars="0"/>
      </w:pPr>
      <w:r>
        <w:t>本项目在研究中构建了覆盖“技术—经济—社会”三维指标的绩效评估体系，结合PDCA闭环管理模式，实现了从实施到调整的动态监测。该机制保障了技术方案落地的有效性，也为后续政策支持和行业推广提供了可量化的评估依据。</w:t>
      </w:r>
    </w:p>
    <w:p w14:paraId="72E10B15">
      <w:pPr>
        <w:pStyle w:val="11"/>
        <w:widowControl/>
        <w:pBdr>
          <w:top w:val="none" w:color="auto" w:sz="0" w:space="0"/>
          <w:left w:val="none" w:color="auto" w:sz="0" w:space="0"/>
          <w:bottom w:val="none" w:color="auto" w:sz="0" w:space="0"/>
          <w:right w:val="none" w:color="auto" w:sz="0" w:space="0"/>
        </w:pBdr>
        <w:ind w:left="0" w:leftChars="0" w:firstLine="0" w:firstLineChars="0"/>
        <w:rPr>
          <w:rFonts w:hint="eastAsia" w:asciiTheme="minorEastAsia" w:hAnsiTheme="minorEastAsia" w:eastAsiaTheme="minorEastAsia" w:cstheme="minorEastAsia"/>
          <w:i w:val="0"/>
          <w:vertAlign w:val="baseline"/>
        </w:rPr>
      </w:pPr>
    </w:p>
    <w:p w14:paraId="7AE9AC34">
      <w:pPr>
        <w:rPr>
          <w:rFonts w:hint="eastAsia" w:asciiTheme="minorEastAsia" w:hAnsiTheme="minorEastAsia" w:eastAsiaTheme="minorEastAsia" w:cstheme="minorEastAsia"/>
        </w:rPr>
      </w:pPr>
    </w:p>
    <w:sectPr>
      <w:headerReference r:id="rId3" w:type="default"/>
      <w:footerReference r:id="rId4" w:type="default"/>
      <w:type w:val="oddPage"/>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8DB15B">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F9A49B">
                          <w:pPr>
                            <w:pStyle w:val="12"/>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0FF9A49B">
                    <w:pPr>
                      <w:pStyle w:val="12"/>
                    </w:pPr>
                    <w:r>
                      <w:fldChar w:fldCharType="begin"/>
                    </w:r>
                    <w:r>
                      <w:instrText xml:space="preserve"> PAGE  \* MERGEFORMAT </w:instrText>
                    </w:r>
                    <w:r>
                      <w:fldChar w:fldCharType="separate"/>
                    </w:r>
                    <w:r>
                      <w:t>III</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8E24E3">
    <w:pPr>
      <w:pStyle w:val="13"/>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D86573"/>
    <w:multiLevelType w:val="singleLevel"/>
    <w:tmpl w:val="C6D86573"/>
    <w:lvl w:ilvl="0" w:tentative="0">
      <w:start w:val="1"/>
      <w:numFmt w:val="decimal"/>
      <w:suff w:val="space"/>
      <w:lvlText w:val="%1)"/>
      <w:lvlJc w:val="left"/>
    </w:lvl>
  </w:abstractNum>
  <w:abstractNum w:abstractNumId="1">
    <w:nsid w:val="DE7E2F7A"/>
    <w:multiLevelType w:val="singleLevel"/>
    <w:tmpl w:val="DE7E2F7A"/>
    <w:lvl w:ilvl="0" w:tentative="0">
      <w:start w:val="1"/>
      <w:numFmt w:val="decimal"/>
      <w:lvlText w:val="%1)"/>
      <w:lvlJc w:val="left"/>
      <w:pPr>
        <w:tabs>
          <w:tab w:val="left" w:pos="420"/>
        </w:tabs>
        <w:ind w:left="845" w:hanging="425"/>
      </w:pPr>
      <w:rPr>
        <w:rFonts w:hint="default"/>
      </w:rPr>
    </w:lvl>
  </w:abstractNum>
  <w:abstractNum w:abstractNumId="2">
    <w:nsid w:val="FFA266DC"/>
    <w:multiLevelType w:val="singleLevel"/>
    <w:tmpl w:val="FFA266DC"/>
    <w:lvl w:ilvl="0" w:tentative="0">
      <w:start w:val="1"/>
      <w:numFmt w:val="decimal"/>
      <w:lvlText w:val="%1)"/>
      <w:lvlJc w:val="left"/>
      <w:pPr>
        <w:tabs>
          <w:tab w:val="left" w:pos="420"/>
        </w:tabs>
        <w:ind w:left="845" w:hanging="425"/>
      </w:pPr>
      <w:rPr>
        <w:rFonts w:hint="default"/>
      </w:rPr>
    </w:lvl>
  </w:abstractNum>
  <w:abstractNum w:abstractNumId="3">
    <w:nsid w:val="1213E2C3"/>
    <w:multiLevelType w:val="singleLevel"/>
    <w:tmpl w:val="1213E2C3"/>
    <w:lvl w:ilvl="0" w:tentative="0">
      <w:start w:val="1"/>
      <w:numFmt w:val="decimal"/>
      <w:lvlText w:val="%1)"/>
      <w:lvlJc w:val="left"/>
      <w:pPr>
        <w:tabs>
          <w:tab w:val="left" w:pos="420"/>
        </w:tabs>
        <w:ind w:left="845" w:hanging="425"/>
      </w:pPr>
      <w:rPr>
        <w:rFonts w:hint="default"/>
      </w:rPr>
    </w:lvl>
  </w:abstractNum>
  <w:abstractNum w:abstractNumId="4">
    <w:nsid w:val="17EDE114"/>
    <w:multiLevelType w:val="singleLevel"/>
    <w:tmpl w:val="17EDE114"/>
    <w:lvl w:ilvl="0" w:tentative="0">
      <w:start w:val="1"/>
      <w:numFmt w:val="decimal"/>
      <w:lvlText w:val="%1)"/>
      <w:lvlJc w:val="left"/>
      <w:pPr>
        <w:tabs>
          <w:tab w:val="left" w:pos="420"/>
        </w:tabs>
        <w:ind w:left="845" w:hanging="425"/>
      </w:pPr>
      <w:rPr>
        <w:rFonts w:hint="default"/>
      </w:rPr>
    </w:lvl>
  </w:abstractNum>
  <w:abstractNum w:abstractNumId="5">
    <w:nsid w:val="3D9E0270"/>
    <w:multiLevelType w:val="singleLevel"/>
    <w:tmpl w:val="3D9E0270"/>
    <w:lvl w:ilvl="0" w:tentative="0">
      <w:start w:val="1"/>
      <w:numFmt w:val="decimal"/>
      <w:suff w:val="space"/>
      <w:lvlText w:val="%1"/>
      <w:lvlJc w:val="left"/>
      <w:pPr>
        <w:ind w:left="0" w:firstLine="0"/>
      </w:pPr>
      <w:rPr>
        <w:rFonts w:hint="default"/>
      </w:rPr>
    </w:lvl>
  </w:abstractNum>
  <w:abstractNum w:abstractNumId="6">
    <w:nsid w:val="79718AEA"/>
    <w:multiLevelType w:val="singleLevel"/>
    <w:tmpl w:val="79718AEA"/>
    <w:lvl w:ilvl="0" w:tentative="0">
      <w:start w:val="1"/>
      <w:numFmt w:val="decimal"/>
      <w:suff w:val="space"/>
      <w:lvlText w:val="1.%1"/>
      <w:lvlJc w:val="left"/>
      <w:pPr>
        <w:ind w:left="0" w:firstLine="0"/>
      </w:pPr>
      <w:rPr>
        <w:rFonts w:hint="default"/>
      </w:rPr>
    </w:lvl>
  </w:abstractNum>
  <w:abstractNum w:abstractNumId="7">
    <w:nsid w:val="7BE1E6E6"/>
    <w:multiLevelType w:val="singleLevel"/>
    <w:tmpl w:val="7BE1E6E6"/>
    <w:lvl w:ilvl="0" w:tentative="0">
      <w:start w:val="1"/>
      <w:numFmt w:val="decimal"/>
      <w:suff w:val="space"/>
      <w:lvlText w:val="2.%1"/>
      <w:lvlJc w:val="left"/>
      <w:pPr>
        <w:ind w:left="0" w:firstLine="0"/>
      </w:pPr>
      <w:rPr>
        <w:rFonts w:hint="default"/>
      </w:rPr>
    </w:lvl>
  </w:abstractNum>
  <w:num w:numId="1">
    <w:abstractNumId w:val="5"/>
  </w:num>
  <w:num w:numId="2">
    <w:abstractNumId w:val="6"/>
  </w:num>
  <w:num w:numId="3">
    <w:abstractNumId w:val="4"/>
  </w:num>
  <w:num w:numId="4">
    <w:abstractNumId w:val="7"/>
  </w:num>
  <w:num w:numId="5">
    <w:abstractNumId w:val="2"/>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1450C0"/>
    <w:rsid w:val="1D1450C0"/>
    <w:rsid w:val="2FF83737"/>
    <w:rsid w:val="36BE5DCC"/>
    <w:rsid w:val="3EAD0569"/>
    <w:rsid w:val="53F21EE9"/>
    <w:rsid w:val="57F6914D"/>
    <w:rsid w:val="68822004"/>
    <w:rsid w:val="6E3D668D"/>
    <w:rsid w:val="6FFE2E59"/>
    <w:rsid w:val="7B73227D"/>
    <w:rsid w:val="7E43FBF4"/>
    <w:rsid w:val="BEEBB6B3"/>
    <w:rsid w:val="CFBF2430"/>
    <w:rsid w:val="E1DB651B"/>
    <w:rsid w:val="EF7EE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keepNext/>
      <w:keepLines/>
      <w:widowControl w:val="0"/>
      <w:spacing w:before="340" w:beforeLines="0" w:beforeAutospacing="0" w:after="330" w:afterLines="0" w:afterAutospacing="0" w:line="576" w:lineRule="auto"/>
      <w:jc w:val="both"/>
      <w:outlineLvl w:val="0"/>
    </w:pPr>
    <w:rPr>
      <w:rFonts w:ascii="Calibri" w:hAnsi="Calibri" w:eastAsia="宋体" w:cs="Times New Roman"/>
      <w:b/>
      <w:kern w:val="44"/>
      <w:sz w:val="44"/>
      <w:szCs w:val="24"/>
      <w:lang w:bidi="ar-SA"/>
    </w:rPr>
  </w:style>
  <w:style w:type="paragraph" w:styleId="3">
    <w:name w:val="heading 2"/>
    <w:next w:val="1"/>
    <w:unhideWhenUsed/>
    <w:qFormat/>
    <w:uiPriority w:val="0"/>
    <w:pPr>
      <w:keepNext/>
      <w:keepLines/>
      <w:widowControl w:val="0"/>
      <w:spacing w:before="260" w:beforeLines="0" w:beforeAutospacing="0" w:after="260" w:afterLines="0" w:afterAutospacing="0" w:line="413" w:lineRule="auto"/>
      <w:jc w:val="both"/>
      <w:outlineLvl w:val="1"/>
    </w:pPr>
    <w:rPr>
      <w:rFonts w:ascii="Arial" w:hAnsi="Arial" w:eastAsia="黑体" w:cs="Times New Roman"/>
      <w:b/>
      <w:kern w:val="2"/>
      <w:sz w:val="32"/>
      <w:szCs w:val="24"/>
      <w:lang w:bidi="ar-SA"/>
    </w:rPr>
  </w:style>
  <w:style w:type="paragraph" w:styleId="4">
    <w:name w:val="heading 3"/>
    <w:next w:val="1"/>
    <w:unhideWhenUsed/>
    <w:qFormat/>
    <w:uiPriority w:val="0"/>
    <w:pPr>
      <w:keepNext/>
      <w:keepLines/>
      <w:widowControl w:val="0"/>
      <w:spacing w:before="260" w:beforeLines="0" w:beforeAutospacing="0" w:after="260" w:afterLines="0" w:afterAutospacing="0" w:line="413" w:lineRule="auto"/>
      <w:jc w:val="both"/>
      <w:outlineLvl w:val="2"/>
    </w:pPr>
    <w:rPr>
      <w:rFonts w:ascii="Calibri" w:hAnsi="Calibri" w:eastAsia="宋体" w:cs="Times New Roman"/>
      <w:b/>
      <w:kern w:val="2"/>
      <w:sz w:val="32"/>
      <w:szCs w:val="24"/>
      <w:lang w:bidi="ar-SA"/>
    </w:rPr>
  </w:style>
  <w:style w:type="paragraph" w:styleId="5">
    <w:name w:val="heading 4"/>
    <w:next w:val="1"/>
    <w:semiHidden/>
    <w:unhideWhenUsed/>
    <w:qFormat/>
    <w:uiPriority w:val="0"/>
    <w:pPr>
      <w:keepNext/>
      <w:keepLines/>
      <w:widowControl w:val="0"/>
      <w:spacing w:before="280" w:beforeLines="0" w:beforeAutospacing="0" w:after="290" w:afterLines="0" w:afterAutospacing="0" w:line="372" w:lineRule="auto"/>
      <w:jc w:val="both"/>
      <w:outlineLvl w:val="3"/>
    </w:pPr>
    <w:rPr>
      <w:rFonts w:ascii="Arial" w:hAnsi="Arial" w:eastAsia="黑体" w:cs="Times New Roman"/>
      <w:b/>
      <w:kern w:val="2"/>
      <w:sz w:val="28"/>
      <w:szCs w:val="24"/>
      <w:lang w:bidi="ar-SA"/>
    </w:rPr>
  </w:style>
  <w:style w:type="paragraph" w:styleId="6">
    <w:name w:val="heading 5"/>
    <w:next w:val="1"/>
    <w:semiHidden/>
    <w:unhideWhenUsed/>
    <w:qFormat/>
    <w:uiPriority w:val="0"/>
    <w:pPr>
      <w:keepNext/>
      <w:keepLines/>
      <w:widowControl w:val="0"/>
      <w:spacing w:before="280" w:beforeLines="0" w:beforeAutospacing="0" w:after="290" w:afterLines="0" w:afterAutospacing="0" w:line="372" w:lineRule="auto"/>
      <w:jc w:val="both"/>
      <w:outlineLvl w:val="4"/>
    </w:pPr>
    <w:rPr>
      <w:rFonts w:ascii="Calibri" w:hAnsi="Calibri" w:eastAsia="宋体" w:cs="Times New Roman"/>
      <w:b/>
      <w:kern w:val="2"/>
      <w:sz w:val="28"/>
      <w:szCs w:val="24"/>
      <w:lang w:bidi="ar-SA"/>
    </w:rPr>
  </w:style>
  <w:style w:type="paragraph" w:styleId="7">
    <w:name w:val="heading 6"/>
    <w:next w:val="1"/>
    <w:semiHidden/>
    <w:unhideWhenUsed/>
    <w:qFormat/>
    <w:uiPriority w:val="0"/>
    <w:pPr>
      <w:keepNext/>
      <w:keepLines/>
      <w:widowControl w:val="0"/>
      <w:spacing w:before="240" w:beforeLines="0" w:beforeAutospacing="0" w:after="64" w:afterLines="0" w:afterAutospacing="0" w:line="317" w:lineRule="auto"/>
      <w:jc w:val="both"/>
      <w:outlineLvl w:val="5"/>
    </w:pPr>
    <w:rPr>
      <w:rFonts w:ascii="Arial" w:hAnsi="Arial" w:eastAsia="黑体" w:cs="Times New Roman"/>
      <w:b/>
      <w:kern w:val="2"/>
      <w:sz w:val="24"/>
      <w:szCs w:val="24"/>
      <w:lang w:bidi="ar-SA"/>
    </w:rPr>
  </w:style>
  <w:style w:type="paragraph" w:styleId="8">
    <w:name w:val="heading 7"/>
    <w:next w:val="1"/>
    <w:semiHidden/>
    <w:unhideWhenUsed/>
    <w:qFormat/>
    <w:uiPriority w:val="0"/>
    <w:pPr>
      <w:keepNext/>
      <w:keepLines/>
      <w:widowControl w:val="0"/>
      <w:spacing w:before="240" w:beforeLines="0" w:beforeAutospacing="0" w:after="64" w:afterLines="0" w:afterAutospacing="0" w:line="317" w:lineRule="auto"/>
      <w:jc w:val="both"/>
      <w:outlineLvl w:val="6"/>
    </w:pPr>
    <w:rPr>
      <w:rFonts w:ascii="Calibri" w:hAnsi="Calibri" w:eastAsia="宋体" w:cs="Times New Roman"/>
      <w:b/>
      <w:kern w:val="2"/>
      <w:sz w:val="24"/>
      <w:szCs w:val="24"/>
      <w:lang w:bidi="ar-SA"/>
    </w:rPr>
  </w:style>
  <w:style w:type="paragraph" w:styleId="9">
    <w:name w:val="heading 8"/>
    <w:next w:val="1"/>
    <w:semiHidden/>
    <w:unhideWhenUsed/>
    <w:qFormat/>
    <w:uiPriority w:val="0"/>
    <w:pPr>
      <w:keepNext/>
      <w:keepLines/>
      <w:widowControl w:val="0"/>
      <w:spacing w:before="240" w:beforeLines="0" w:beforeAutospacing="0" w:after="64" w:afterLines="0" w:afterAutospacing="0" w:line="317" w:lineRule="auto"/>
      <w:jc w:val="both"/>
      <w:outlineLvl w:val="7"/>
    </w:pPr>
    <w:rPr>
      <w:rFonts w:ascii="Arial" w:hAnsi="Arial" w:eastAsia="黑体" w:cs="Times New Roman"/>
      <w:kern w:val="2"/>
      <w:sz w:val="24"/>
      <w:szCs w:val="24"/>
      <w:lang w:bidi="ar-SA"/>
    </w:rPr>
  </w:style>
  <w:style w:type="paragraph" w:styleId="10">
    <w:name w:val="heading 9"/>
    <w:next w:val="1"/>
    <w:semiHidden/>
    <w:unhideWhenUsed/>
    <w:qFormat/>
    <w:uiPriority w:val="0"/>
    <w:pPr>
      <w:keepNext/>
      <w:keepLines/>
      <w:widowControl w:val="0"/>
      <w:spacing w:before="240" w:beforeLines="0" w:beforeAutospacing="0" w:after="64" w:afterLines="0" w:afterAutospacing="0" w:line="317" w:lineRule="auto"/>
      <w:jc w:val="both"/>
      <w:outlineLvl w:val="8"/>
    </w:pPr>
    <w:rPr>
      <w:rFonts w:ascii="Arial" w:hAnsi="Arial" w:eastAsia="黑体" w:cs="Times New Roman"/>
      <w:kern w:val="2"/>
      <w:sz w:val="21"/>
      <w:szCs w:val="24"/>
      <w:lang w:bidi="ar-SA"/>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qFormat/>
    <w:uiPriority w:val="0"/>
    <w:pPr>
      <w:widowControl w:val="0"/>
      <w:spacing w:line="360" w:lineRule="auto"/>
      <w:ind w:firstLine="481"/>
      <w:jc w:val="both"/>
      <w:outlineLvl w:val="9"/>
    </w:pPr>
    <w:rPr>
      <w:rFonts w:ascii="Times New Roman" w:hAnsi="Calibri" w:eastAsia="宋体" w:cs="Times New Roman"/>
      <w:kern w:val="2"/>
      <w:sz w:val="24"/>
      <w:szCs w:val="24"/>
      <w:lang w:bidi="ar-SA"/>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Subtitle"/>
    <w:qFormat/>
    <w:uiPriority w:val="0"/>
    <w:pPr>
      <w:widowControl w:val="0"/>
      <w:spacing w:before="240" w:beforeLines="0" w:beforeAutospacing="0" w:after="60" w:afterLines="0" w:afterAutospacing="0" w:line="312" w:lineRule="auto"/>
      <w:jc w:val="center"/>
      <w:outlineLvl w:val="1"/>
    </w:pPr>
    <w:rPr>
      <w:rFonts w:ascii="Arial" w:hAnsi="Arial" w:eastAsia="宋体" w:cs="Times New Roman"/>
      <w:b/>
      <w:kern w:val="28"/>
      <w:sz w:val="32"/>
      <w:szCs w:val="24"/>
      <w:lang w:bidi="ar-SA"/>
    </w:r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Title"/>
    <w:qFormat/>
    <w:uiPriority w:val="0"/>
    <w:pPr>
      <w:widowControl w:val="0"/>
      <w:spacing w:before="50" w:after="50" w:line="360" w:lineRule="auto"/>
      <w:ind w:firstLine="723"/>
      <w:jc w:val="center"/>
      <w:outlineLvl w:val="9"/>
    </w:pPr>
    <w:rPr>
      <w:rFonts w:ascii="Calibri" w:hAnsi="Calibri" w:eastAsia="黑体" w:cs="Times New Roman"/>
      <w:b/>
      <w:kern w:val="2"/>
      <w:sz w:val="36"/>
      <w:szCs w:val="36"/>
      <w:lang w:bidi="ar-SA"/>
    </w:rPr>
  </w:style>
  <w:style w:type="character" w:styleId="20">
    <w:name w:val="Strong"/>
    <w:basedOn w:val="19"/>
    <w:qFormat/>
    <w:uiPriority w:val="0"/>
    <w:rPr>
      <w:b/>
    </w:rPr>
  </w:style>
  <w:style w:type="character" w:styleId="21">
    <w:name w:val="HTML Code"/>
    <w:basedOn w:val="19"/>
    <w:qFormat/>
    <w:uiPriority w:val="0"/>
    <w:rPr>
      <w:rFonts w:ascii="Courier New" w:hAnsi="Courier New"/>
      <w:sz w:val="20"/>
    </w:rPr>
  </w:style>
  <w:style w:type="paragraph" w:customStyle="1" w:styleId="22">
    <w:name w:val="摘要正文"/>
    <w:next w:val="1"/>
    <w:uiPriority w:val="0"/>
    <w:pPr>
      <w:widowControl w:val="0"/>
      <w:spacing w:before="50" w:after="50" w:line="360" w:lineRule="auto"/>
      <w:ind w:firstLine="447"/>
      <w:jc w:val="both"/>
      <w:outlineLvl w:val="9"/>
    </w:pPr>
    <w:rPr>
      <w:rFonts w:ascii="Times New Roman" w:hAnsi="Calibri" w:eastAsia="宋体" w:cs="Times New Roman"/>
      <w:kern w:val="2"/>
      <w:sz w:val="24"/>
      <w:szCs w:val="24"/>
      <w:lang w:bidi="ar-SA"/>
    </w:rPr>
  </w:style>
  <w:style w:type="paragraph" w:customStyle="1" w:styleId="23">
    <w:name w:val="关键词正文"/>
    <w:next w:val="1"/>
    <w:qFormat/>
    <w:uiPriority w:val="0"/>
    <w:pPr>
      <w:widowControl w:val="0"/>
      <w:spacing w:line="400" w:lineRule="exact"/>
      <w:jc w:val="both"/>
      <w:outlineLvl w:val="9"/>
    </w:pPr>
    <w:rPr>
      <w:rFonts w:ascii="Times New Roman" w:hAnsi="Times New Roman" w:eastAsia="宋体" w:cs="Times New Roman"/>
      <w:kern w:val="2"/>
      <w:sz w:val="24"/>
      <w:szCs w:val="22"/>
      <w:lang w:bidi="ar-SA"/>
    </w:rPr>
  </w:style>
  <w:style w:type="character" w:customStyle="1" w:styleId="24">
    <w:name w:val="关键词"/>
    <w:uiPriority w:val="0"/>
    <w:rPr>
      <w:rFonts w:ascii="Times New Roman" w:hAnsi="Times New Roman" w:eastAsia="黑体" w:cs="Times New Roman"/>
      <w:b/>
      <w:kern w:val="2"/>
      <w:sz w:val="24"/>
      <w:szCs w:val="22"/>
      <w:lang w:bidi="ar-SA"/>
    </w:rPr>
  </w:style>
  <w:style w:type="paragraph" w:customStyle="1" w:styleId="25">
    <w:name w:val="摘要标题"/>
    <w:next w:val="1"/>
    <w:qFormat/>
    <w:uiPriority w:val="0"/>
    <w:pPr>
      <w:widowControl w:val="0"/>
      <w:spacing w:before="50" w:after="50" w:line="360" w:lineRule="auto"/>
      <w:jc w:val="center"/>
      <w:outlineLvl w:val="0"/>
    </w:pPr>
    <w:rPr>
      <w:rFonts w:ascii="Times New Roman" w:hAnsi="Times New Roman" w:eastAsia="黑体" w:cs="Times New Roman"/>
      <w:b/>
      <w:kern w:val="2"/>
      <w:sz w:val="32"/>
      <w:szCs w:val="32"/>
      <w:lang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3867</Words>
  <Characters>4015</Characters>
  <Lines>0</Lines>
  <Paragraphs>0</Paragraphs>
  <TotalTime>24</TotalTime>
  <ScaleCrop>false</ScaleCrop>
  <LinksUpToDate>false</LinksUpToDate>
  <CharactersWithSpaces>4027</CharactersWithSpaces>
  <Application>WPS Office_12.1.0.20754_F1E327BC-269C-435d-A152-05C5408002CA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2025-03-22T03:36:00Z</dcterms:created>
  <dc:creator>爱睡觉的熊 </dc:creator>
  <cp:lastModifiedBy>爱睡觉的熊 </cp:lastModifiedBy>
  <dcterms:modified xsi:type="dcterms:W3CDTF">2025-03-23T16:11:27Z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2052-12.1.0.20754</vt:lpwstr>
  </property>
  <property fmtid="{D5CDD505-2E9C-101B-9397-08002B2CF9AE}" pid="3" name="ICV">
    <vt:lpwstr>1B88BC1AEDA84BC2B3F00A273F54DEDC_13</vt:lpwstr>
  </property>
  <property fmtid="{D5CDD505-2E9C-101B-9397-08002B2CF9AE}" pid="4" name="KSOTemplateDocerSaveRecord">
    <vt:lpwstr>eyJoZGlkIjoiYmJlMDQ3M2FlMjY5MjJmOWNiNmZkZjFkODA2YThhY2IiLCJ1c2VySWQiOiIzMDE4Nzk3NDYifQ==</vt:lpwstr>
  </property>
</Properties>
</file>