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70C241C7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34"/>
          <w:szCs w:val="22"/>
        </w:rPr>
        <w:t>DOCUMENTAÇÃO DE TRANSCRIÇÃO</w:t>
      </w:r>
    </w:p>
    <w:p w14:paraId="6762659A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i/>
          <w:iCs/>
          <w:sz w:val="22"/>
          <w:szCs w:val="22"/>
        </w:rPr>
        <w:t>Fortran90 → Python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firstRow="1" w:firstColumn="1" w:noVBand="1"/>
      </w:tblPr>
      <w:tblGrid>
        <w:gridCol w:w="5040"/>
        <w:gridCol w:w="5040"/>
      </w:tblGrid>
      <w:tr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44E0BDF4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Nome do arquivo original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7CE420E3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flow_param.F90</w:t>
            </w:r>
          </w:p>
        </w:tc>
      </w:tr>
      <w:tr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524AB1F3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Nome do arquivo Python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1699A92C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flow_param.py</w:t>
            </w:r>
          </w:p>
        </w:tc>
      </w:tr>
      <w:tr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16376A56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Responsável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66F71246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Lucas Gelenski</w:t>
            </w:r>
          </w:p>
        </w:tc>
      </w:tr>
      <w:tr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18B73AC0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Data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485585C1" w14:textId="23026EC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22</w:t>
            </w: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/09/2026</w:t>
            </w:r>
          </w:p>
        </w:tc>
      </w:tr>
      <w:tr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58FA7D65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Status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1CA964EF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 xml:space="preserve">☐ Rascunho     ☒ Transcrito     ☐ Validado</w:t>
            </w:r>
          </w:p>
        </w:tc>
      </w:tr>
    </w:tbl>
    <w:p w14:paraId="5D0F5D87" w14:textId="77777777">
      <w:pPr>
        <w:spacing w:after="200" w:line="276" w:lineRule="auto"/>
      </w:pPr>
    </w:p>
    <w:p w14:paraId="3183F5A3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24"/>
          <w:szCs w:val="22"/>
        </w:rPr>
        <w:t>PROPÓSITO</w:t>
      </w:r>
    </w:p>
    <w:p w14:paraId="13FCBCAA" w14:textId="085A0743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flow_param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 é a única sub-rotina do arquivo e calcula os parâmetros de transporte de água líquida e de vapor em cada nó do perfil, e a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partir deles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 os fluxos advectivos que soil_tmp e soil_moisture consomem. São cinco grandezas por nó: klh (condutividade hidráulica por gradiente de pressão, van Genuchten 1980, reduzida por gelo segundo Niu &amp; Yang 2006), klt (condutividade hidráulica por gradiente de temperatura, Hansson et al. 2004), kvh e kvt (condutividades de vapor por gradiente de pressão e de temperatura, UNSAT-H / Fayer 2000) e dsmdh (d(umidade)/d(cabeça de pressão), a derivada que soil_moisture usa na linearização de Richards). Na segunda metade, faz as médias de Cherry &amp; Freeze (fluxo perpendicular) entre nós vizinhos, produzindo as condutâncias khl/khu e os fluxos vin/fv1/flowu/flowl. É o terceiro dos seis callables injetados de new_profile a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ganhar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implementação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 real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.</w:t>
      </w:r>
    </w:p>
    <w:p w14:paraId="61DE714A" w14:textId="27A21895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19"/>
          <w:szCs w:val="22"/>
        </w:rPr>
        <w:t xml:space="preserve">DOIS MODOS, </w:t>
      </w:r>
      <w:r>
        <w:rPr>
          <w:rFonts w:ascii="Calibri" w:hAnsi="Calibri" w:eastAsia="ＭＳ 明朝" w:cs="Calibri" w:eastAsiaTheme="minorEastAsia" w:csTheme="minorBidi"/>
          <w:b/>
          <w:bCs/>
          <w:sz w:val="19"/>
          <w:szCs w:val="22"/>
        </w:rPr>
        <w:t>selecionados</w:t>
      </w:r>
      <w:r>
        <w:rPr>
          <w:rFonts w:ascii="Calibri" w:hAnsi="Calibri" w:eastAsia="ＭＳ 明朝" w:cs="Calibri" w:eastAsiaTheme="minorEastAsia" w:csTheme="minorBidi"/>
          <w:b/>
          <w:bCs/>
          <w:sz w:val="19"/>
          <w:szCs w:val="22"/>
        </w:rPr>
        <w:t xml:space="preserve"> </w:t>
      </w:r>
      <w:r>
        <w:rPr>
          <w:rFonts w:ascii="Calibri" w:hAnsi="Calibri" w:eastAsia="ＭＳ 明朝" w:cs="Calibri" w:eastAsiaTheme="minorEastAsia" w:csTheme="minorBidi"/>
          <w:b/>
          <w:bCs/>
          <w:sz w:val="19"/>
          <w:szCs w:val="22"/>
        </w:rPr>
        <w:t>pelo</w:t>
      </w:r>
      <w:r>
        <w:rPr>
          <w:rFonts w:ascii="Calibri" w:hAnsi="Calibri" w:eastAsia="ＭＳ 明朝" w:cs="Calibri" w:eastAsiaTheme="minorEastAsia" w:csTheme="minorBidi"/>
          <w:b/>
          <w:bCs/>
          <w:sz w:val="19"/>
          <w:szCs w:val="22"/>
        </w:rPr>
        <w:t xml:space="preserve"> </w:t>
      </w:r>
      <w:r>
        <w:rPr>
          <w:rFonts w:ascii="Calibri" w:hAnsi="Calibri" w:eastAsia="ＭＳ 明朝" w:cs="Calibri" w:eastAsiaTheme="minorEastAsia" w:csTheme="minorBidi"/>
          <w:b/>
          <w:bCs/>
          <w:sz w:val="19"/>
          <w:szCs w:val="22"/>
        </w:rPr>
        <w:t>argumento</w:t>
      </w:r>
      <w:r>
        <w:rPr>
          <w:rFonts w:ascii="Calibri" w:hAnsi="Calibri" w:eastAsia="ＭＳ 明朝" w:cs="Calibri" w:eastAsiaTheme="minorEastAsia" w:csTheme="minorBidi"/>
          <w:b/>
          <w:bCs/>
          <w:sz w:val="19"/>
          <w:szCs w:val="22"/>
        </w:rPr>
        <w:t xml:space="preserve"> </w:t>
      </w:r>
      <w:r>
        <w:rPr>
          <w:rFonts w:ascii="Calibri" w:hAnsi="Calibri" w:eastAsia="ＭＳ 明朝" w:cs="Calibri" w:eastAsiaTheme="minorEastAsia" w:csTheme="minorBidi"/>
          <w:b/>
          <w:bCs/>
          <w:sz w:val="19"/>
          <w:szCs w:val="22"/>
        </w:rPr>
        <w:t>isn</w:t>
      </w:r>
      <w:r>
        <w:rPr>
          <w:rFonts w:ascii="Calibri" w:hAnsi="Calibri" w:eastAsia="ＭＳ 明朝" w:cs="Calibri" w:eastAsiaTheme="minorEastAsia" w:csTheme="minorBidi"/>
          <w:b/>
          <w:bCs/>
          <w:sz w:val="19"/>
          <w:szCs w:val="22"/>
        </w:rPr>
        <w:t>:</w:t>
      </w:r>
    </w:p>
    <w:p w14:paraId="2DAD122E" w14:textId="23E1C728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Com isn == nnodes (o 1º call site, new_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profile.F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90:937, usado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para achar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 a taxa máxima de evaporação), o laço de condutividades roda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para UM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 único nó — o de topo —, todo o bloco de médias das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linhas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 259-470 é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pulado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,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e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qbot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sai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 SEMPRE 0, porque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klh(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1) e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kvh(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1) continuam com o zero da zeragem inicial. Nesse modo os únicos resultados úteis são klhtop/kvhtop/kvttop. Com isn == 1 (os outros 3 call sites)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roda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 o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perfil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completoPara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nnodes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 &lt;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i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 &lt;= ntemp, klh(i) e kvh(i) valem 0, logo kdenom == 0 e os caminhos khll/khlv caem nos seus else — é para isso que os guards do ponto 6 existem.</w:t>
      </w:r>
    </w:p>
    <w:p w14:paraId="639F3092" w14:textId="2536A78F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Estrutura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 interna,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por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fase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: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firstRow="1" w:firstColumn="1" w:noVBand="1"/>
      </w:tblPr>
      <w:tblGrid>
        <w:gridCol w:w="2704"/>
        <w:gridCol w:w="992"/>
        <w:gridCol w:w="6384"/>
      </w:tblGrid>
      <w:t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6D174447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Fase</w:t>
            </w:r>
          </w:p>
        </w:tc>
        <w:tc>
          <w:tcPr>
            <w:tcW w:w="9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30A33F92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Linhas</w:t>
            </w:r>
          </w:p>
        </w:tc>
        <w:tc>
          <w:tcPr>
            <w:tcW w:w="6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01CA8D8C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Conteúdo</w:t>
            </w:r>
          </w:p>
        </w:tc>
      </w:tr>
      <w:t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1C627360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Declarações e zeragem</w:t>
            </w:r>
          </w:p>
        </w:tc>
        <w:tc>
          <w:tcPr>
            <w:tcW w:w="9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07F0E3CC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22–106</w:t>
            </w:r>
          </w:p>
        </w:tc>
        <w:tc>
          <w:tcPr>
            <w:tcW w:w="6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3F5FCC3F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~45 escalares zerados (3 deles nunca lidos, ponto 10); laço de zeragem de 12 arrays em 1..ntot; slpr = 1 com a fórmula real comentada (ponto 5)</w:t>
            </w:r>
          </w:p>
        </w:tc>
      </w:tr>
      <w:t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6FA0CFCB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LAÇO DE CONDUTIVIDADES do i=</w:t>
            </w: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isn,nnodes</w:t>
            </w:r>
          </w:p>
        </w:tc>
        <w:tc>
          <w:tcPr>
            <w:tcW w:w="9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075094E9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111–238</w:t>
            </w:r>
          </w:p>
        </w:tc>
        <w:tc>
          <w:tcPr>
            <w:tcW w:w="6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396D735B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Safety catch que muta stt (ponto 1); impflag; dsmdh (van Genuchten); klh com redução por gelo; G (ponto 2); klt via tensão superficial; kvh/kvt via pressão de vapor de saturação e eta; quantização 1d20</w:t>
            </w:r>
          </w:p>
        </w:tc>
      </w:tr>
      <w:t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118B9D12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 xml:space="preserve">Contorno inferior e </w:t>
            </w: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saídas</w:t>
            </w: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 xml:space="preserve"> de topo</w:t>
            </w:r>
          </w:p>
        </w:tc>
        <w:tc>
          <w:tcPr>
            <w:tcW w:w="9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34156CD8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240–256</w:t>
            </w:r>
          </w:p>
        </w:tc>
        <w:tc>
          <w:tcPr>
            <w:tcW w:w="6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34FD61E0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dh no nível do lençol (gwl); klhtop/kvhtop/kvttop = valores em nnodes; klbot/kvbot e qbot — atenção à ORDEM de quantização (ponto 7)</w:t>
            </w:r>
          </w:p>
        </w:tc>
      </w:tr>
      <w:t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69FA70CC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MÉDIAS de Cherry &amp; Freeze do i=1,ntemp (só se isn == 1)</w:t>
            </w:r>
          </w:p>
        </w:tc>
        <w:tc>
          <w:tcPr>
            <w:tcW w:w="9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47C62756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259–470</w:t>
            </w:r>
          </w:p>
        </w:tc>
        <w:tc>
          <w:tcPr>
            <w:tcW w:w="6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17DFF74B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Três ramos por posição (topo/neve/veg, base, interior); médias harmônicas de klh/kvh ponderadas por delz; médias aritméticas de klt/kvt; fluxos vin/fv1/flowu/flowl e condutâncias khl/khu</w:t>
            </w:r>
          </w:p>
        </w:tc>
      </w:tr>
    </w:tbl>
    <w:p w14:paraId="1DAFC52D" w14:textId="77777777">
      <w:pPr>
        <w:spacing w:after="200" w:line="276" w:lineRule="auto"/>
      </w:pPr>
      <w:r>
        <w:lastRenderedPageBreak/>
        <w:rPr>
          <w:rFonts w:ascii="Calibri" w:hAnsi="Calibri" w:eastAsia="ＭＳ 明朝" w:cs="Calibri" w:eastAsiaTheme="minorEastAsia" w:csTheme="minorBidi"/>
          <w:b/>
          <w:bCs/>
          <w:sz w:val="24"/>
          <w:szCs w:val="22"/>
        </w:rPr>
        <w:t>CHAMADAS EXTERNAS</w:t>
      </w:r>
    </w:p>
    <w:p w14:paraId="7B2C02BF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Sub-rotinas chamadas por este arquivo:</w:t>
      </w:r>
    </w:p>
    <w:p w14:paraId="62724A74" w14:textId="50D62BC6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Nenhuma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.</w:t>
      </w:r>
    </w:p>
    <w:p w14:paraId="559F21BA" w14:textId="3BCF549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Funções chamadas — as quatro declaradas no cabeçalho (“uses the functions: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dense,spheats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,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soilhumid,head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”)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: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firstRow="1" w:firstColumn="1" w:noVBand="1"/>
      </w:tblPr>
      <w:tblGrid>
        <w:gridCol w:w="3360"/>
        <w:gridCol w:w="3360"/>
        <w:gridCol w:w="3360"/>
      </w:tblGrid>
      <w:t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54DDB163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Símbolo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57EB147B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Origem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707D93A3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Uso</w:t>
            </w:r>
          </w:p>
        </w:tc>
      </w:tr>
      <w:t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3B421BC6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dense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72304D59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fasst_functions.F90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4214480B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Densidade de água (d1i) e de vapor (d2i) — 13 chamadas: rhow na linha 118 e rd1/sph1/sph2/cw/cv nos três ramos do bloco de médias</w:t>
            </w:r>
          </w:p>
        </w:tc>
      </w:tr>
      <w:t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2737A73F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spheats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1D17E6E4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fasst_functions.F90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39018BD9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Calor específico de água/vapor — 12 chamadas, sempre pareadas com dense para formar capacidade térmica volumétrica (J/m^3*K)</w:t>
            </w:r>
          </w:p>
        </w:tc>
      </w:tr>
      <w:t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52E65016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soilhumid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689B2E7C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fasst_functions.F90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24534ABA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Umidade relativa do solo — 1 chamada (linha 189), entra em kvh e kvt</w:t>
            </w:r>
          </w:p>
        </w:tc>
      </w:tr>
      <w:t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3A9BFCE4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head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0D41826F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fasst_functions.F90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25359A5E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Cabeça de pressão — 1 chamada (linha 124), só no fallback de phead ≈ 0</w:t>
            </w:r>
          </w:p>
        </w:tc>
      </w:tr>
    </w:tbl>
    <w:p w14:paraId="1FC8206B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Símbolos importados de fasst_global (use ... only):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firstRow="1" w:firstColumn="1" w:noVBand="1"/>
      </w:tblPr>
      <w:tblGrid>
        <w:gridCol w:w="3360"/>
        <w:gridCol w:w="3360"/>
        <w:gridCol w:w="3360"/>
      </w:tblGrid>
      <w:t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5B905F31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Símbolo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4CA0CF17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Natureza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50357B99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Destino na transcrição</w:t>
            </w:r>
          </w:p>
        </w:tc>
      </w:tr>
      <w:t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01D77A62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ip, dp, eps, Tref, grav, Rv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427EBDD8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parameter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1345E2D0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fasst.constants (ip/dp descartados; EPS, TREF, GRAV, RV)</w:t>
            </w:r>
          </w:p>
        </w:tc>
      </w:tr>
      <w:t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54ED8503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ntot, ntemp, nnodes, step, deltat_fasst, atopf, gwl, hm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37149AA2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estado de módulo (escalar)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2C7D0AD3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campos de FasstState, lidos</w:t>
            </w:r>
          </w:p>
        </w:tc>
      </w:tr>
      <w:t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47027854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ntype, nsoilp, stt, soil_moist, phead, ice, wvc, node_type, grspheat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44CEFBC4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estado de módulo (array)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539D7275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campos de FasstState, lidos — stt também ESCRITO (ponto 1)</w:t>
            </w:r>
          </w:p>
        </w:tc>
      </w:tr>
      <w:t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69ABDB4F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dsmdh, vin, fv1, khu, khl, flowl, flowu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01096801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estado de módulo (array)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60E79CF8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campos de FasstState, ESCRITOS — são as saídas reais, nenhuma aparece na lista de argumentos formais</w:t>
            </w:r>
          </w:p>
        </w:tc>
      </w:tr>
    </w:tbl>
    <w:p w14:paraId="60B68240" w14:textId="77777777">
      <w:pPr>
        <w:spacing w:after="200" w:line="276" w:lineRule="auto"/>
      </w:pPr>
    </w:p>
    <w:p w14:paraId="54AFCBD5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24"/>
          <w:szCs w:val="22"/>
        </w:rPr>
        <w:t>PONTOS DE ATENÇÃO PARA A TRANSCRIÇÃO</w:t>
      </w:r>
    </w:p>
    <w:p w14:paraId="772B8A82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Números mágicos, hardcoded I/O, truques numéricos, ou qualquer coisa que precise de atenção ao portar este arquivo:</w:t>
      </w:r>
    </w:p>
    <w:p w14:paraId="5C6D9F27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19"/>
          <w:szCs w:val="22"/>
        </w:rPr>
        <w:t>1. O “safety catch” da linha 112 MUTA stt — o único write em stt aqui, e nada na assinatura o sugere</w:t>
      </w:r>
    </w:p>
    <w:p w14:paraId="747F73CE" w14:textId="3DC29580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if(dabs(stt(i)) &lt;= eps) stt(i) = 1d0, comentado no original como “safety catch to prevent /0”. Duas coisas importam. Primeira: stt é temperatura em KELVIN, então dabs(stt) &lt;= eps significa ~0 K — fisicamente impossível. O catch não está protegendo contra um nó frio, está protegendo contra um nó NÃO INICIALIZADO, e o 1,0 K que escreve é igualmente não-físico; só evita a divisão por zero das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linhas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 206-208 e 217.</w:t>
      </w:r>
    </w:p>
    <w:p w14:paraId="588AA177" w14:textId="77777777">
      <w:pPr>
        <w:spacing w:after="200" w:line="276" w:lineRule="auto"/>
      </w:pPr>
      <w:r>
        <w:lastRenderedPageBreak/>
        <w:rPr>
          <w:rFonts w:ascii="Calibri" w:hAnsi="Calibri" w:eastAsia="ＭＳ 明朝" w:cs="Calibri" w:eastAsiaTheme="minorEastAsia" w:csTheme="minorBidi"/>
          <w:b/>
          <w:bCs/>
          <w:sz w:val="19"/>
          <w:szCs w:val="22"/>
        </w:rPr>
        <w:t>2. G ≡ 10 em todo caminho alcançável — sete linhas de código ativo que colapsam em uma constante</w:t>
      </w:r>
    </w:p>
    <w:p w14:paraId="59614758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Linhas 170-176: para ntype(i) /= 15, G = 2,5d1*(nsoilp(i,20) + 1d0), seguido de if(G &lt; 5d0) G = 5d0 e if(G &gt; 1d1) G = 1d1. nsoilp(:,20) é o teor de argila e é sempre ≥ 0 (é fração — ver ponto 3 — e no pior caso carrega o sentinela spflag = 999). Logo G ≥ 25 sempre, o clamp inferior NUNCA dispara, o superior dispara SEMPRE, e G = 10. O ramo else (ntype == 15) também atribui G = 1d1. Conclusão: G vale 10 incondicionalmente, e junto com ele a árvore comentada de 5 ramos das linhas 161-169 (5/7/10/9 por ntype) é a física que se pretendia e que está desativada duas vezes — uma por estar comentada, outra porque o substituto ativo é constante. Mesma classe do y = 60 do doc de soil_tmp (ponto 2 de lá). Único consumidor: klt(i) na linha 185. Transcrito literalmente, com o cálculo e os dois clamps intactos; registrado em PENDÊNCIAS porque simplificar para G = 10 seria correto HOJE mas apagaria a intenção.</w:t>
      </w:r>
    </w:p>
    <w:p w14:paraId="03FAD124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19"/>
          <w:szCs w:val="22"/>
        </w:rPr>
        <w:t>3. nsoilp(:,20) é FRAÇÃO de argila, não porcentagem — e o rótulo em fasst/indices.py está defasado</w:t>
      </w:r>
    </w:p>
    <w:p w14:paraId="48360135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A linha 221 faz dsqrt(nsoilp(i,20)*1d2), um ×100 que só faz sentido se o valor for fração. Confirmado na transcrição já existente: initprofile.py:266-267 converte soilp(i,20) com 1e-2 (a menos que seja spflag), assim como faz para as colunas 18, 19 e 23. Ou seja, o comentário do Fortran e o nome SoilProp.PCT_CLAY em fasst/indices.py (“% clay”) descrevem o valor como LIDO DO ARQUIVO, não como fica em memória depois de initprofile. Isso resolve a ambiguidade de unidade deste arquivo (o ×1d2 volta para porcento antes da raiz), mas o rótulo do enum merece nota — vale para as quatro colunas convertidas, não só a 20.</w:t>
      </w:r>
    </w:p>
    <w:p w14:paraId="5AD931C2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19"/>
          <w:szCs w:val="22"/>
        </w:rPr>
        <w:t>4. Redução de klh por gelo: a fórmula ativa (Niu &amp; Yang) e a comentada têm efeitos OPOSTOS</w:t>
      </w:r>
    </w:p>
    <w:p w14:paraId="5956C1B5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Linhas 141-147 e 150-156 (bloco duplicado literalmente para os dois ramos de w). Ativa: Frz = dexp(-3d-1*(1d0 - ice(i)/nsoilp(i,9))) - dexp(-3d-1), depois klh = klh*(1d0 - Frz). Em ice = 0 dá Frz = 0 (sem efeito); em ice = θs dá Frz ≈ 0,259, ou seja klh cai ~26%. Comentada logo abaixo: klh(i) = klh(i)*(1d0 + 8d0*ice(i))**2d0 — que AUMENTA klh com gelo, sinal oposto ao esperado fisicamente e à versão ativa. Não é código morto inofensivo: quem trocar uma pela outra ao “restaurar” a fórmula antiga inverte o efeito do gelo na condutividade. Só a ativa foi transcrita; a comentada ficou como comentário nos dois lugares. O ramo alternativo (ice ≤ eps e stt &gt; Tref) aplica o fator de viscosidade 5,3888d-1 + 2,096d-2*(stt - Tref), sem fonte citada.</w:t>
      </w:r>
    </w:p>
    <w:p w14:paraId="70521B9C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19"/>
          <w:szCs w:val="22"/>
        </w:rPr>
        <w:t>5. slpr ≡ 1 — as quatro multiplicações das linhas 234-237 são no-ops</w:t>
      </w:r>
    </w:p>
    <w:p w14:paraId="18FA2E3A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Linha 106: slpr = 1d0 !dmax1(0d0,dmin1(1d0,dcos(slope_fasst*pi/1.8d2))). O fator de projeção de rampa (cosseno da declividade) está desativado, com a fórmula real comentada na mesma linha; slpr é usado só nas quatro quantizações finais do laço de condutividades (klh, kvh, klt, kvt), que portanto multiplicam por 1. Note que slope_fasst e pi nem sequer entram na cláusula use desta sub-rotina — descomentar a fórmula exige mudar o use, não só a linha. Preservado como slpr = 1.0 com a multiplicação explícita mantida (mesma disciplina do ponto 5 do doc de soil_tmp).</w:t>
      </w:r>
    </w:p>
    <w:p w14:paraId="50CC38F7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19"/>
          <w:szCs w:val="22"/>
        </w:rPr>
        <w:t>6. if(dabs(kdenom) /= 0d0) — teste de zero EXATO, com dabs redundante, 8 vezes</w:t>
      </w:r>
    </w:p>
    <w:p w14:paraId="45B24A06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Oito ocorrências, em quatro pares klh/kvh: linhas 298 e 305 (nó de topo), 359 e 365 (nó de base), 396, 402, 427 e 433 (nós interiores). Duas observações independentes. (a) dabs(x) /= 0d0 é idêntico a x /= 0d0: o dabs não faz nada. (b) mais importante, é um teste de igualdade EXATA a zero, onde todo o resto do projeto compara contra eps (o idioma if(dabs(x) &lt;= eps) documentado em fasst/constants.py). Como kdenom é uma soma de produtos de condutividades por espessuras, um valor subnormal mas não-zero passa o teste e produz uma divisão que estoura. Preservado literalmente — trocar por eps mudaria resultados e é decisão do autor.</w:t>
      </w:r>
    </w:p>
    <w:p w14:paraId="63CEB067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19"/>
          <w:szCs w:val="22"/>
        </w:rPr>
        <w:t>7. Ordem de quantização: qbot soma valores NÃO quantizados, o nó de base lê os QUANTIZADOS</w:t>
      </w:r>
    </w:p>
    <w:p w14:paraId="0B5252A9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Linhas 251-256, nesta ordem: klbot e kvbot são calculados; qbot = (klbot + kvbot) usa esses valores CRUS; só então as linhas 255-256 aplicam anint(...*1d20)*1d-20 a klbot e kvbot. Mais tarde, no ramo do nó de base (linhas 351 e 353), vinlw = klbot e vinlv = kvbot leem a versão JÁ quantizada. Portanto o mesmo par de números entra em duas contas com precisões diferentes, de propósito ou por acidente. Unificar num único arredondamento — a “limpeza” óbvia — muda qbot, que é um dos quatro valores de retorno. Preservado, com comentário no ponto da soma.</w:t>
      </w:r>
    </w:p>
    <w:p w14:paraId="7039DECE" w14:textId="77777777">
      <w:pPr>
        <w:spacing w:after="200" w:line="276" w:lineRule="auto"/>
      </w:pPr>
      <w:r>
        <w:lastRenderedPageBreak/>
        <w:rPr>
          <w:rFonts w:ascii="Calibri" w:hAnsi="Calibri" w:eastAsia="ＭＳ 明朝" w:cs="Calibri" w:eastAsiaTheme="minorEastAsia" w:csTheme="minorBidi"/>
          <w:b/>
          <w:bCs/>
          <w:sz w:val="19"/>
          <w:szCs w:val="22"/>
        </w:rPr>
        <w:t>8. Quinta cópia manual do mesmo ajuste WES de calor latente de vaporização</w:t>
      </w:r>
    </w:p>
    <w:p w14:paraId="772574A0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Linha 264: lhe = 2500775,6d0 - 2369,729d0*(stt(i) - Tref). O projeto já tinha quatro cópias independentes escritas à mão: sflux.py (_LHVAP_LITERAL), surfenergy.py e soil_tmp.py (_LHEVAP_INTERCEPT/_LHEVAP_SLOPE em cada) e module_canopy.py:1553. Esta é a quinta. Mantida local aqui também, sem importar de nenhum irmão — mesma decisão dos módulos anteriores, para que cada transcrição permaneça autocontida e comparável 1-para-1 com seu .F90.</w:t>
      </w:r>
    </w:p>
    <w:p w14:paraId="72F81EA0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19"/>
          <w:szCs w:val="22"/>
        </w:rPr>
        <w:t>9. Os seletores de fase d1i/d2i: uma atribuição morta, uma perigosamente enganosa, e literais soltos</w:t>
      </w:r>
    </w:p>
    <w:p w14:paraId="33BBCDBF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Três coisas distintas. (a) Linhas 41-42: d1i = 0 imediatamente seguido de d1i = 1 — a primeira é morta. (b) Linha 109: d2i = 2 (que em fasst_functions significa GELO). Essa atribuição é MORTA, e é a mais enganosa do arquivo: nenhuma leitura de d2i acontece entre a linha 109 e a linha 260, que o devolve a 0 (VAPOR D’ÁGUA). Todas as oito leituras (294, 317, 345, 377, 392, 414, 445) estão depois da linha 260. Quem ler só a linha 109 concluirá, errado, que sph2/cv são capacidade térmica do GELO — são de VAPOR. (c) Linhas 375, 377, 443, 445 passam os literais 1 e 0 em vez de d1i/d2i, misturados na mesma expressão com dense(...,d1i)/dense(...,d2i) — coincidem em valor, então é cosmético. Transcrito com Phase.WATER / Phase.WATER_VAPOR nomeados, preservando as três atribuições (inclusive a morta) e comentando cada uma.</w:t>
      </w:r>
    </w:p>
    <w:p w14:paraId="46D0E856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19"/>
          <w:szCs w:val="22"/>
        </w:rPr>
        <w:t>10. Três locais declarados, zerados, nunca lidos</w:t>
      </w:r>
    </w:p>
    <w:p w14:paraId="576DFDD0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h0 (linha 48), phtemp (linha 82) e tsign (linha 88): cada um aparece exatamente duas vezes no arquivo — na declaração e na zeragem. Verificado com busca de palavra inteira, não substring. Mantidos na transcrição por fidelidade estrutural (mesmo tratamento do ponto 10 do doc de soil_tmp), com comentário marcando-os.</w:t>
      </w:r>
    </w:p>
    <w:p w14:paraId="31AEF4D9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19"/>
          <w:szCs w:val="22"/>
        </w:rPr>
        <w:t>11. Divisões sem guard, em código ativo</w:t>
      </w:r>
    </w:p>
    <w:p w14:paraId="1FF3EBF8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Três lugares que dependem de invariantes não verificadas aqui. (a) Linha 120: w = (soil_moist(i) - nsoilp(i,8))/(nsoilp(i,9) - nsoilp(i,8)) — impflag filtra nsoilp(i,11)/(i,12) nulos, mas nada impede nsoilp(i,9) == nsoilp(i,8); se acontecer, w vira ±Inf ou NaN e o NaN atravessa silenciosamente os testes w &gt; eps / w &lt;= 0.99 (ambos falsos para NaN), deixando klh = 0 sem sinal de erro. (b) Divisões por zt(i) - zt(i-1) e zt(i+1) - zt(i) nos três ramos do bloco de médias, sem verificação de nós coincidentes. (c) Linha 138: w**(1d0/nsoilp(i,12)) — impflag garante nsoilp(i,12) &gt; eps, então essa está coberta. Nenhuma foi “corrigida”; registradas em PENDÊNCIAS para o driver de referência exercitar.</w:t>
      </w:r>
    </w:p>
    <w:p w14:paraId="6BB05957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19"/>
          <w:szCs w:val="22"/>
        </w:rPr>
        <w:t>12. A fórmula de eta difere da forma que se costuma citar — confirmar contra a fonte antes de mexer</w:t>
      </w:r>
    </w:p>
    <w:p w14:paraId="67604D0C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Linhas 220-227: eta = 9,5d0 + 6d0*soil_moist(i) - 8,5d0*dexp(-t1), com t1 = ((1d0 + 2,6d0/dsqrt(nsoilp(i,20)*1d2))*soil_moist(i))**4d0, limitado a t1 ≤ 50 antes da exponencial (para não estourar dexp). Duas diferenças em relação à forma habitualmente citada para o fator de melhoria do fluxo de vapor: o coeficiente do termo linear (6 aqui) e o fato de soil_moist entrar CRU, não normalizado pela porosidade. O cabeçalho do arquivo cita UNSAT-H / Fayer (2000), que não está nesta cópia de trabalho, então isto fica registrado como “a conferir”, não como divergência confirmada. Transcrito exatamente como está.</w:t>
      </w:r>
    </w:p>
    <w:p w14:paraId="7478BBAB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19"/>
          <w:szCs w:val="22"/>
        </w:rPr>
        <w:t>13. if(hm &gt; eps) vinuv = 0d0 — no-op, porque vinuv já é 0 na linha anterior</w:t>
      </w:r>
    </w:p>
    <w:p w14:paraId="56C4880E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Linhas 333-335: vinuv = 0d0 !-qtopv e, na linha seguinte, if(hm &gt; eps) vinuv = 0d0. O valor pretendido (-qtopv) está comentado, e com ele desativado o teste de hm virou redundante — zera o que já é zero. O par de linhas só faz sentido lido junto: o if existe para o dia em que -qtopv voltar. Preservado como está, com comentário; não remover achando que é lixo, é o vestígio do caminho de vapor de topo.</w:t>
      </w:r>
    </w:p>
    <w:p w14:paraId="3A085056" w14:textId="77777777">
      <w:pPr>
        <w:spacing w:after="200" w:line="276" w:lineRule="auto"/>
      </w:pPr>
    </w:p>
    <w:p w14:paraId="21B5F82C">
      <w:pPr>
        <w:spacing w:after="200" w:line="276" w:lineRule="auto"/>
      </w:pPr>
    </w:p>
    <w:p w14:paraId="242D28DD">
      <w:pPr>
        <w:spacing w:after="200" w:line="276" w:lineRule="auto"/>
      </w:pPr>
    </w:p>
    <w:p w14:paraId="47B21D12">
      <w:pPr>
        <w:spacing w:after="200" w:line="276" w:lineRule="auto"/>
      </w:pPr>
    </w:p>
    <w:p w14:paraId="6BFEBC12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24"/>
          <w:szCs w:val="22"/>
        </w:rPr>
        <w:t>VALIDAÇÃO</w:t>
      </w:r>
    </w:p>
    <w:p w14:paraId="2681EDA9" w14:textId="77777777">
      <w:pPr>
        <w:spacing w:after="200" w:line="276" w:lineRule="auto"/>
      </w:pPr>
      <w:r>
        <w:lastRenderedPageBreak/>
        <w:rPr>
          <w:rFonts w:ascii="Calibri" w:hAnsi="Calibri" w:eastAsia="ＭＳ 明朝" w:cs="Calibri" w:eastAsiaTheme="minorEastAsia" w:csTheme="minorBidi"/>
          <w:sz w:val="19"/>
          <w:szCs w:val="22"/>
        </w:rPr>
        <w:t>Como a saída em Python deverá ser comparada com a saída do Fortran original:</w:t>
      </w:r>
    </w:p>
    <w:p w14:paraId="61872E41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Critério de aceitação: DESBLOQUEADO. flow_param não chama sub-rotina alguma e suas quatro funções (dense, spheats, soilhumid, head) já estão todas em fasst/functions.py e já foram validadas contra o Fortran, então tests/ref/gen_flow_param_ref.F90 pode ser escrito agora, no mesmo padrão de fasst_functions/sp_humid/sflux/surfenergy. Erro relativo ≤ 2 ULP nos quatro escalares de retorno (qbot, klhtop, kvhtop, kvttop) E nos sete arrays de estado escritos (dsmdh, vin, fv1, flowu, flowl, khu, khl) para todos os nós 1..ntemp — mais stt, que é mutado (ponto 1) e portanto também precisa ser comparado depois da chamada, não só antes.</w:t>
      </w:r>
    </w:p>
    <w:p w14:paraId="1A0666DB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Grade de varredura. isn ∈ {1, nnodes} — os dois MODOS; com isn == nnodes confirmar explicitamente que qbot == 0 e que os sete arrays permanecem zerados. ntemp &gt; nnodes vs. ntemp == nnodes (exercita a faixa nnodes &lt; i &lt;= ntemp com klh/kvh zerados, e com isso os ramos else dos guards do ponto 6). node_type(i) ∈ {'HM', 'VG', 'AI', branco, rótulo comum} no nó de topo — os dois primeiros têm ramos dedicados, os dois seguintes fazem o nó ser saltado inteiro. Posição do nó: i == 1, 1 &lt; i &lt; nnodes, i &gt;= nnodes (os três ramos), incluindo o caso degenerado nnodes == 1, em que i == 1 cai no ramo de TOPO e não no de base. impflag: ntype(i) ∈ {0, 26, 27} e nsoilp(i,11)/(i,12) ≤ eps, cada um isoladamente. w = (soil_moist - θmin)/(θmax - θmin) nas cinco faixas: ≤ 0, entre 0 e eps, 0 &lt; w ≤ 0,99, &gt; 0,99, e o caso degenerado θmax == θmin do ponto 11. ice(i) ∈ {0, valor intermediário, ≈ θs} × stt(i) acima e abaixo de Tref (cobre os dois ramos de redução do ponto 4). wvc(i) abaixo e acima de 1d-15 (liga/desliga todo o bloco de vapor). phead(i) ≈ 0 vs. ≠ 0 (o fallback de head na linha 124). hm ≤ eps vs. &gt; eps (ponto 13).</w:t>
      </w:r>
    </w:p>
    <w:p w14:paraId="02A4A0FA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Cobertura de ramos obrigatória: o safety catch do ponto 1 — um caso com stt(i) ≈ 0 e verificação de que o Fortran e o Python deixam stt(i) == 1,0 APÓS a chamada (é o único jeito de pegar essa mutação numa comparação automática). G do ponto 2 — instrumentar o driver Fortran para IMPRIMIR G, não só klt, e confirmar que sai 10 em toda a varredura, inclusive com nsoilp(i,20) = spflag e com ntype == 15; sem isso a afirmação “G ≡ 10” fica sendo análise, não medida. A ordem de quantização do ponto 7 — um caso em que klbot e kvbot tenham dígitos além de 1d-20, comparando qbot (cru) contra sph1*klbot (quantizado) no mesmo passo. O ramo nsoilp(i,20) &lt;= eps do ponto 12, confirmando kvt == 0 para o nó inteiro.</w:t>
      </w:r>
    </w:p>
    <w:p w14:paraId="00C039E4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Armadilha de setup do driver de referência: flow_param lê 17 variáveis de módulo e escreve 8, nenhuma delas na lista de argumentos. O gerador tem que popular ntot, ntemp, nnodes, step, deltat_fasst, atopf, gwl, hm, e os arrays ntype, nsoilp (25 colunas), stt, soil_moist, phead, ice, wvc, node_type, grspheat ANTES de cada chamada, e capturar os 8 escritos DEPOIS. Atenção especial a nsoilp: o valor correto para a coluna 20 é a FRAÇÃO de argila, já convertida, não o porcento do arquivo de entrada (ponto 3) — errar isso muda eta e, por ele, kvt inteiro, sem quebrar nada visivelmente.</w:t>
      </w:r>
    </w:p>
    <w:p w14:paraId="6979939B" w14:textId="77777777">
      <w:pPr>
        <w:spacing w:after="200" w:line="276" w:lineRule="auto"/>
      </w:pPr>
    </w:p>
    <w:p w14:paraId="78207F7C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24"/>
          <w:szCs w:val="22"/>
        </w:rPr>
        <w:t>PENDÊNCIAS</w:t>
      </w:r>
    </w:p>
    <w:p w14:paraId="11C7B182" w14:textId="77777777">
      <w:pPr>
        <w:pStyle w:val="PargrafodaLista"/>
        <w:numPr>
          <w:ilvl w:val="0"/>
          <w:numId w:val="1"/>
        </w:numPr>
        <w:ind w:left="360" w:hanging="360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Ligar flow_param real ao parâmetro injetado flow_param_fn de fasst/new_profile.py. É DROP-IN (sem adaptador) — basta passar a função nos 4 call sites (new_profile.py:1479, 1583, 1763, 1969). Com isso, dos seis callables injetados de new_profile restam apenas th_param e sub_divide bloqueando; atualizar PENDENCIAS.md §2.1 em conjunto.</w:t>
      </w:r>
    </w:p>
    <w:p w14:paraId="34F18CA3" w14:textId="77777777">
      <w:pPr>
        <w:pStyle w:val="PargrafodaLista"/>
        <w:numPr>
          <w:ilvl w:val="0"/>
          <w:numId w:val="1"/>
        </w:numPr>
        <w:ind w:left="360" w:hanging="360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Escrever tests/ref/gen_flow_param_ref.F90 e o comparador Python — desbloqueado agora, porque as quatro funções usadas já estão transcritas e validadas (ver VALIDAÇÃO). Instrumentar o driver para imprimir também G e o stt pós-chamada.</w:t>
      </w:r>
    </w:p>
    <w:p w14:paraId="31AD1CD6" w14:textId="77777777">
      <w:pPr>
        <w:pStyle w:val="PargrafodaLista"/>
        <w:numPr>
          <w:ilvl w:val="0"/>
          <w:numId w:val="1"/>
        </w:numPr>
        <w:ind w:left="360" w:hanging="360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Decisão do autor sobre G ≡ 10 (ponto 2): manter as sete linhas que resultam numa constante, restaurar a árvore de 5 ramos comentada das linhas 161-169, ou assumir G = 10 explicitamente. Hoje as três opções dão o mesmo número; só a segunda muda resultados.</w:t>
      </w:r>
    </w:p>
    <w:p w14:paraId="59380C7E" w14:textId="77777777">
      <w:pPr>
        <w:pStyle w:val="PargrafodaLista"/>
        <w:numPr>
          <w:ilvl w:val="0"/>
          <w:numId w:val="1"/>
        </w:numPr>
        <w:ind w:left="360" w:hanging="360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Decisão do autor sobre os testes de zero exato do ponto 6 (dabs(kdenom) /= 0d0, 6 pares) — alinhar com o idioma eps do resto do projeto ou documentar a exceção. Muda resultados em casos subnormais.</w:t>
      </w:r>
    </w:p>
    <w:p w14:paraId="564413F1" w14:textId="77777777">
      <w:pPr>
        <w:pStyle w:val="PargrafodaLista"/>
        <w:numPr>
          <w:ilvl w:val="0"/>
          <w:numId w:val="1"/>
        </w:numPr>
        <w:ind w:left="360" w:hanging="360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Decisão do autor sobre slpr ≡ 1 (ponto 5): descomentar a projeção de rampa exige acrescentar slope_fasst e pi à cláusula use, não só editar a linha 106 — ou seja, a fórmula comentada não compila como está.</w:t>
      </w:r>
    </w:p>
    <w:p w14:paraId="0CBDDA0C" w14:textId="77777777">
      <w:pPr>
        <w:pStyle w:val="PargrafodaLista"/>
        <w:numPr>
          <w:ilvl w:val="0"/>
          <w:numId w:val="1"/>
        </w:numPr>
        <w:ind w:left="360" w:hanging="360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Guardas de divisão do ponto 11: nsoilp(i,9) == nsoilp(i,8) na linha 120 (NaN silencioso) e nós coincidentes em zt no bloco de médias. Decidir se entram como validação de entrada em initprofile/initsurface (onde o perfil é montado) em vez de aqui.</w:t>
      </w:r>
    </w:p>
    <w:p w14:paraId="6A62BB80" w14:textId="77777777">
      <w:pPr>
        <w:pStyle w:val="PargrafodaLista"/>
        <w:numPr>
          <w:ilvl w:val="0"/>
          <w:numId w:val="1"/>
        </w:numPr>
        <w:ind w:left="360" w:hanging="360"/>
      </w:pPr>
      <w:r>
        <w:lastRenderedPageBreak/>
        <w:rPr>
          <w:rFonts w:ascii="Calibri" w:hAnsi="Calibri" w:eastAsia="ＭＳ 明朝" w:cs="Calibri" w:eastAsiaTheme="minorEastAsia" w:csTheme="minorBidi"/>
          <w:sz w:val="19"/>
          <w:szCs w:val="22"/>
        </w:rPr>
        <w:t>Corrigir/anotar o nome SoilProp.PCT_CLAY e os rótulos das colunas 18, 19, 20 e 23 em fasst/indices.py (ponto 3): descrevem o valor como lido do arquivo, mas initprofile.py:266-273 converte as quatro para fração antes de qualquer consumidor ver. Um comentário no enum resolve.</w:t>
      </w:r>
    </w:p>
    <w:p w14:paraId="68BFFFBB" w14:textId="77777777">
      <w:pPr>
        <w:pStyle w:val="PargrafodaLista"/>
        <w:numPr>
          <w:ilvl w:val="0"/>
          <w:numId w:val="1"/>
        </w:numPr>
        <w:ind w:left="360" w:hanging="360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Confirmar a fórmula de eta (ponto 12) contra UNSAT-H / Fayer (2000) — coeficiente 6 no termo linear e soil_moist não normalizado pela porosidade. Documento não disponível nesta cópia de trabalho.</w:t>
      </w:r>
    </w:p>
    <w:p w14:paraId="28C287CB" w14:textId="77777777">
      <w:pPr>
        <w:pStyle w:val="PargrafodaLista"/>
        <w:numPr>
          <w:ilvl w:val="0"/>
          <w:numId w:val="1"/>
        </w:numPr>
        <w:ind w:left="360" w:hanging="360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Consolidar (fase futura) as cinco cópias manuais do ajuste WES de calor latente de vaporização (ponto 8): sflux, surfenergy, soil_tmp, module_canopy e agora flow_param.</w:t>
      </w:r>
    </w:p>
    <w:sectPr>
      <w:pgSz w:w="12240" w:h="15840"/>
      <w:pgMar w:top="1080" w:right="1080" w:bottom="1080" w:left="108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0168900">
    <w:abstractNumId w:val="8"/>
  </w:num>
  <w:num w:numId="2" w16cid:durableId="749697526">
    <w:abstractNumId w:val="6"/>
  </w:num>
  <w:num w:numId="3" w16cid:durableId="1778333605">
    <w:abstractNumId w:val="5"/>
  </w:num>
  <w:num w:numId="4" w16cid:durableId="1322658696">
    <w:abstractNumId w:val="4"/>
  </w:num>
  <w:num w:numId="5" w16cid:durableId="1523081861">
    <w:abstractNumId w:val="7"/>
  </w:num>
  <w:num w:numId="6" w16cid:durableId="1986818185">
    <w:abstractNumId w:val="3"/>
  </w:num>
  <w:num w:numId="7" w16cid:durableId="1981811107">
    <w:abstractNumId w:val="2"/>
  </w:num>
  <w:num w:numId="8" w16cid:durableId="704789552">
    <w:abstractNumId w:val="1"/>
  </w:num>
  <w:num w:numId="9" w16cid:durableId="1259483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CD2"/>
    <w:rsid w:val="00034616"/>
    <w:rsid w:val="0006063C"/>
    <w:rsid w:val="0015074B"/>
    <w:rsid w:val="0029639D"/>
    <w:rsid w:val="00326F90"/>
    <w:rsid w:val="0086058B"/>
    <w:rsid w:val="008E2B89"/>
    <w:rsid w:val="009B36D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5EF7EF"/>
  <w14:defaultImageDpi w14:val="300"/>
  <w15:docId w15:val="{16D2403F-FA9A-4CB2-904C-977F72C5E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2893</Words>
  <Characters>15626</Characters>
  <Application>Microsoft Office Word</Application>
  <DocSecurity>0</DocSecurity>
  <Lines>130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Gelenski</cp:lastModifiedBy>
  <cp:revision>2</cp:revision>
  <dcterms:created xsi:type="dcterms:W3CDTF">2013-12-23T23:15:00Z</dcterms:created>
  <dcterms:modified xsi:type="dcterms:W3CDTF">2026-10-05T13:01:17.779Z</dcterms:modified>
  <cp:category/>
</cp:coreProperties>
</file>