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Licencia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Dominio público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El trabajo no está sujeto a derechos de autor, por lo que puede ser utilizado y distribuido libremente.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Propietario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El trabajo está protegido por derechos de autor y solo puede ser utilizado y distribuido con el permiso del propietario.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Open source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El código fuente del software es accesible al público y puede ser utilizado, modificado y distribuido libremente, pero debe cumplir con los términos de la licencia.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El software está disponible gratuitamente y puede ser utilizado, modificado y distribuido libremente, pero debe cumplir con los términos de la licencia.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Copyleft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Similar al software libre, pero requiere que las obras derivadas también sean libres.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Comercial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El software solo puede ser utilizado con fines comerciales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Freeware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El software está disponible gratuitamente para su uso, pero no se permite su modificación o distribución.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Shareware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El software está disponible para su uso gratuito durante un período de tiempo limitado o con funcionalidades limitadas. Después de ese período, se debe pagar una licencia para seguir usando el software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.2.-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Licencia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Ejemplos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GNU General Public License (GPL)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Es una licencia de software libre que exige que cualquier cambio o mejora en el software deba ser distribuido bajo los mismos términos que la GPL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Linux, Git, Bash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Apache 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y distribución del software, pero requiere que se mantengan los créditos de autor y se incluya una copia de la licencia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Apache HTTP Server, Hadoop, OpenOffice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BSD License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y distribución del software sin necesidad de incluir los créditos de autor ni una copia de la licencia.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FreeBSD, OpenBSD, NetBSD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MIT License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Permite la modificación y distribución del software siempre y cuando se incluya una copia de la licencia con el software.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jQuery, React, Ruby on Rails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415"/>
        <w:gridCol w:w="1935"/>
        <w:tblGridChange w:id="0">
          <w:tblGrid>
            <w:gridCol w:w="1650"/>
            <w:gridCol w:w="541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Licencia 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CC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Esta licencia permite a otros distribuir, remezclar, retocar, y crear a partir de su obra, incluso con fines comerciales, siempre y cuando se de crédito al autor original.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238125</wp:posOffset>
                  </wp:positionH>
                  <wp:positionV relativeFrom="paragraph">
                    <wp:posOffset>257175</wp:posOffset>
                  </wp:positionV>
                  <wp:extent cx="838200" cy="295275"/>
                  <wp:effectExtent b="0" l="0" r="0" t="0"/>
                  <wp:wrapNone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95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CC BY-SA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Esta licencia es similar a la anterior, con la salvedad de que cualquier obra derivada debe ser distribuida bajo los mismos términos que la licencia original.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CC BY-ND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Esta licencia permite a otros distribuir su obra sin modificaciones, incluso con fines comerciales, siempre y cuando se de crédito al autor original.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CC BY-NC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Esta licencia permite a otros distribuir, remezclar, retocar, y crear a partir de su obra para usos no comerciales, siempre y cuando se de crédito al autor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.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CC BY-NC-SA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Esta licencia es similar a la anterior, con la salvedad de que cualquier obra derivada debe ser distribuida bajo los mismos términos que la licencia original y únicamente para uso no comercial.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CC BY-NC-ND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Esta licencia permite a otros descargar e incluso compartir su obra, siempre y cuando no sean modificadas y para uso no comercial, siempre y cuando se dé crédito al autor original.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