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526D" w:rsidRPr="0054526D" w:rsidRDefault="0054526D" w:rsidP="0054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26D">
        <w:rPr>
          <w:rFonts w:ascii="Times New Roman" w:eastAsia="Times New Roman" w:hAnsi="Times New Roman" w:cs="Times New Roman"/>
          <w:b/>
          <w:bCs/>
          <w:sz w:val="27"/>
          <w:szCs w:val="27"/>
        </w:rPr>
        <w:t>1. Architectural Rationale</w:t>
      </w:r>
    </w:p>
    <w:p w:rsidR="0054526D" w:rsidRPr="0054526D" w:rsidRDefault="0054526D" w:rsidP="00545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26D">
        <w:rPr>
          <w:rFonts w:ascii="Times New Roman" w:eastAsia="Times New Roman" w:hAnsi="Times New Roman" w:cs="Times New Roman"/>
          <w:sz w:val="24"/>
          <w:szCs w:val="24"/>
        </w:rPr>
        <w:t>The selected architecture, which combines High-CPU Compute Engine instances with a NoSQL database, is optimized for workloads requiring high concurrency and intensive computation.</w:t>
      </w:r>
    </w:p>
    <w:p w:rsidR="0054526D" w:rsidRPr="0054526D" w:rsidRDefault="0054526D" w:rsidP="00545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26D">
        <w:rPr>
          <w:rFonts w:ascii="Times New Roman" w:eastAsia="Times New Roman" w:hAnsi="Times New Roman" w:cs="Times New Roman"/>
          <w:b/>
          <w:bCs/>
          <w:sz w:val="24"/>
          <w:szCs w:val="24"/>
        </w:rPr>
        <w:t>Compute-Focused Design:</w:t>
      </w:r>
      <w:r w:rsidRPr="0054526D">
        <w:rPr>
          <w:rFonts w:ascii="Times New Roman" w:eastAsia="Times New Roman" w:hAnsi="Times New Roman" w:cs="Times New Roman"/>
          <w:sz w:val="24"/>
          <w:szCs w:val="24"/>
        </w:rPr>
        <w:t xml:space="preserve"> Using the high-CPU tier with 4 vCPUs per instance allows us to emphasize processing capability rather than memory. This setup is especially effective for real-time data processing, API orchestration, and high-traffic web applications where CPU resources are the main constraint.</w:t>
      </w:r>
    </w:p>
    <w:p w:rsidR="0054526D" w:rsidRPr="0054526D" w:rsidRDefault="0054526D" w:rsidP="00545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26D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Data Layer:</w:t>
      </w:r>
      <w:r w:rsidRPr="0054526D">
        <w:rPr>
          <w:rFonts w:ascii="Times New Roman" w:eastAsia="Times New Roman" w:hAnsi="Times New Roman" w:cs="Times New Roman"/>
          <w:sz w:val="24"/>
          <w:szCs w:val="24"/>
        </w:rPr>
        <w:t xml:space="preserve"> Opting for a NoSQL database (such as </w:t>
      </w:r>
      <w:proofErr w:type="spellStart"/>
      <w:r w:rsidRPr="0054526D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54526D">
        <w:rPr>
          <w:rFonts w:ascii="Times New Roman" w:eastAsia="Times New Roman" w:hAnsi="Times New Roman" w:cs="Times New Roman"/>
          <w:sz w:val="24"/>
          <w:szCs w:val="24"/>
        </w:rPr>
        <w:t>) enables efficient handling of unstructured data at high throughput levels. With 100,000 reads and writes configured, the system maintains a well-balanced transactional workload and supports effortless horizontal scaling without the complexities of relational database structures.</w:t>
      </w:r>
    </w:p>
    <w:p w:rsidR="0054526D" w:rsidRPr="0054526D" w:rsidRDefault="0054526D" w:rsidP="00545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26D">
        <w:rPr>
          <w:rFonts w:ascii="Times New Roman" w:eastAsia="Times New Roman" w:hAnsi="Times New Roman" w:cs="Times New Roman"/>
          <w:b/>
          <w:bCs/>
          <w:sz w:val="24"/>
          <w:szCs w:val="24"/>
        </w:rPr>
        <w:t>Optimized Storage:</w:t>
      </w:r>
      <w:r w:rsidRPr="0054526D">
        <w:rPr>
          <w:rFonts w:ascii="Times New Roman" w:eastAsia="Times New Roman" w:hAnsi="Times New Roman" w:cs="Times New Roman"/>
          <w:sz w:val="24"/>
          <w:szCs w:val="24"/>
        </w:rPr>
        <w:t xml:space="preserve"> Standard Cloud Storage configured with 100 GB delivers “hot” storage for frequently accessed data, providing 99.9% availability and ensuring minimal latency for assets delivered to users.</w:t>
      </w:r>
    </w:p>
    <w:p w:rsidR="0054526D" w:rsidRPr="0054526D" w:rsidRDefault="0054526D" w:rsidP="0054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26D">
        <w:rPr>
          <w:rFonts w:ascii="Times New Roman" w:eastAsia="Times New Roman" w:hAnsi="Times New Roman" w:cs="Times New Roman"/>
          <w:b/>
          <w:bCs/>
          <w:sz w:val="27"/>
          <w:szCs w:val="27"/>
        </w:rPr>
        <w:t>2. Cost &amp; Unit-Economic Analysis</w:t>
      </w:r>
    </w:p>
    <w:p w:rsidR="0054526D" w:rsidRPr="0054526D" w:rsidRDefault="0054526D" w:rsidP="00545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26D">
        <w:rPr>
          <w:rFonts w:ascii="Times New Roman" w:eastAsia="Times New Roman" w:hAnsi="Times New Roman" w:cs="Times New Roman"/>
          <w:sz w:val="24"/>
          <w:szCs w:val="24"/>
        </w:rPr>
        <w:t>The $12.64 monthly cost estimate generated by our internal CFO Bot highlights the strong financial efficiency of this deployment.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487"/>
        <w:gridCol w:w="1187"/>
        <w:gridCol w:w="3841"/>
      </w:tblGrid>
      <w:tr w:rsidR="0054526D" w:rsidRPr="0054526D" w:rsidTr="00BA62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526D" w:rsidRPr="0054526D" w:rsidRDefault="0054526D" w:rsidP="00545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</w:rPr>
            </w:pPr>
            <w:r w:rsidRPr="00545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4526D" w:rsidRPr="0054526D" w:rsidRDefault="0054526D" w:rsidP="00545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</w:rPr>
            </w:pPr>
            <w:r w:rsidRPr="00545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</w:rPr>
              <w:t>Monthly Cost</w:t>
            </w:r>
          </w:p>
        </w:tc>
        <w:tc>
          <w:tcPr>
            <w:tcW w:w="0" w:type="auto"/>
            <w:vAlign w:val="center"/>
            <w:hideMark/>
          </w:tcPr>
          <w:p w:rsidR="0054526D" w:rsidRPr="0054526D" w:rsidRDefault="0054526D" w:rsidP="00545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</w:rPr>
            </w:pPr>
            <w:r w:rsidRPr="00545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</w:rPr>
              <w:t>% of Total</w:t>
            </w:r>
          </w:p>
        </w:tc>
        <w:tc>
          <w:tcPr>
            <w:tcW w:w="0" w:type="auto"/>
            <w:vAlign w:val="center"/>
            <w:hideMark/>
          </w:tcPr>
          <w:p w:rsidR="0054526D" w:rsidRPr="0054526D" w:rsidRDefault="0054526D" w:rsidP="005452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</w:rPr>
            </w:pPr>
            <w:r w:rsidRPr="00545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</w:rPr>
              <w:t>Strategic Value</w:t>
            </w:r>
          </w:p>
        </w:tc>
      </w:tr>
      <w:tr w:rsidR="0054526D" w:rsidRPr="0054526D" w:rsidTr="00BA6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526D" w:rsidRPr="0054526D" w:rsidRDefault="0054526D" w:rsidP="0054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526D">
              <w:rPr>
                <w:rFonts w:ascii="Times New Roman" w:eastAsia="Times New Roman" w:hAnsi="Times New Roman" w:cs="Times New Roman"/>
                <w:sz w:val="24"/>
                <w:szCs w:val="24"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:rsidR="0054526D" w:rsidRPr="0054526D" w:rsidRDefault="0054526D" w:rsidP="0054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526D">
              <w:rPr>
                <w:rFonts w:ascii="Times New Roman" w:eastAsia="Times New Roman" w:hAnsi="Times New Roman" w:cs="Times New Roman"/>
                <w:sz w:val="24"/>
                <w:szCs w:val="24"/>
              </w:rPr>
              <w:t>$3.20</w:t>
            </w:r>
          </w:p>
        </w:tc>
        <w:tc>
          <w:tcPr>
            <w:tcW w:w="0" w:type="auto"/>
            <w:vAlign w:val="center"/>
            <w:hideMark/>
          </w:tcPr>
          <w:p w:rsidR="0054526D" w:rsidRPr="0054526D" w:rsidRDefault="0054526D" w:rsidP="0054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526D">
              <w:rPr>
                <w:rFonts w:ascii="Times New Roman" w:eastAsia="Times New Roman" w:hAnsi="Times New Roman" w:cs="Times New Roman"/>
                <w:sz w:val="24"/>
                <w:szCs w:val="24"/>
              </w:rPr>
              <w:t>25.3%</w:t>
            </w:r>
          </w:p>
        </w:tc>
        <w:tc>
          <w:tcPr>
            <w:tcW w:w="0" w:type="auto"/>
            <w:vAlign w:val="center"/>
            <w:hideMark/>
          </w:tcPr>
          <w:p w:rsidR="0054526D" w:rsidRPr="0054526D" w:rsidRDefault="0054526D" w:rsidP="0054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526D">
              <w:rPr>
                <w:rFonts w:ascii="Times New Roman" w:eastAsia="Times New Roman" w:hAnsi="Times New Roman" w:cs="Times New Roman"/>
                <w:sz w:val="24"/>
                <w:szCs w:val="24"/>
              </w:rPr>
              <w:t>High-performance processing power</w:t>
            </w:r>
          </w:p>
        </w:tc>
      </w:tr>
      <w:tr w:rsidR="0054526D" w:rsidRPr="0054526D" w:rsidTr="00BA6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526D" w:rsidRPr="0054526D" w:rsidRDefault="0054526D" w:rsidP="0054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526D">
              <w:rPr>
                <w:rFonts w:ascii="Times New Roman" w:eastAsia="Times New Roman" w:hAnsi="Times New Roman" w:cs="Times New Roman"/>
                <w:sz w:val="24"/>
                <w:szCs w:val="24"/>
              </w:rPr>
              <w:t>Storage &amp; Data</w:t>
            </w:r>
          </w:p>
        </w:tc>
        <w:tc>
          <w:tcPr>
            <w:tcW w:w="0" w:type="auto"/>
            <w:vAlign w:val="center"/>
            <w:hideMark/>
          </w:tcPr>
          <w:p w:rsidR="0054526D" w:rsidRPr="0054526D" w:rsidRDefault="0054526D" w:rsidP="0054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526D">
              <w:rPr>
                <w:rFonts w:ascii="Times New Roman" w:eastAsia="Times New Roman" w:hAnsi="Times New Roman" w:cs="Times New Roman"/>
                <w:sz w:val="24"/>
                <w:szCs w:val="24"/>
              </w:rPr>
              <w:t>$4.16</w:t>
            </w:r>
          </w:p>
        </w:tc>
        <w:tc>
          <w:tcPr>
            <w:tcW w:w="0" w:type="auto"/>
            <w:vAlign w:val="center"/>
            <w:hideMark/>
          </w:tcPr>
          <w:p w:rsidR="0054526D" w:rsidRPr="0054526D" w:rsidRDefault="0054526D" w:rsidP="0054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526D">
              <w:rPr>
                <w:rFonts w:ascii="Times New Roman" w:eastAsia="Times New Roman" w:hAnsi="Times New Roman" w:cs="Times New Roman"/>
                <w:sz w:val="24"/>
                <w:szCs w:val="24"/>
              </w:rPr>
              <w:t>32.9%</w:t>
            </w:r>
          </w:p>
        </w:tc>
        <w:tc>
          <w:tcPr>
            <w:tcW w:w="0" w:type="auto"/>
            <w:vAlign w:val="center"/>
            <w:hideMark/>
          </w:tcPr>
          <w:p w:rsidR="0054526D" w:rsidRPr="0054526D" w:rsidRDefault="0054526D" w:rsidP="0054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526D">
              <w:rPr>
                <w:rFonts w:ascii="Times New Roman" w:eastAsia="Times New Roman" w:hAnsi="Times New Roman" w:cs="Times New Roman"/>
                <w:sz w:val="24"/>
                <w:szCs w:val="24"/>
              </w:rPr>
              <w:t>Persistent data and database operations</w:t>
            </w:r>
          </w:p>
        </w:tc>
      </w:tr>
      <w:tr w:rsidR="0054526D" w:rsidRPr="0054526D" w:rsidTr="00BA6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526D" w:rsidRPr="0054526D" w:rsidRDefault="0054526D" w:rsidP="0054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526D">
              <w:rPr>
                <w:rFonts w:ascii="Times New Roman" w:eastAsia="Times New Roman" w:hAnsi="Times New Roman" w:cs="Times New Roman"/>
                <w:sz w:val="24"/>
                <w:szCs w:val="24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:rsidR="0054526D" w:rsidRPr="0054526D" w:rsidRDefault="0054526D" w:rsidP="0054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526D">
              <w:rPr>
                <w:rFonts w:ascii="Times New Roman" w:eastAsia="Times New Roman" w:hAnsi="Times New Roman" w:cs="Times New Roman"/>
                <w:sz w:val="24"/>
                <w:szCs w:val="24"/>
              </w:rPr>
              <w:t>$5.27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54526D" w:rsidRPr="0054526D" w:rsidRDefault="0054526D" w:rsidP="0054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526D">
              <w:rPr>
                <w:rFonts w:ascii="Times New Roman" w:eastAsia="Times New Roman" w:hAnsi="Times New Roman" w:cs="Times New Roman"/>
                <w:sz w:val="24"/>
                <w:szCs w:val="24"/>
              </w:rPr>
              <w:t>41.8%</w:t>
            </w:r>
          </w:p>
        </w:tc>
        <w:tc>
          <w:tcPr>
            <w:tcW w:w="0" w:type="auto"/>
            <w:vAlign w:val="center"/>
            <w:hideMark/>
          </w:tcPr>
          <w:p w:rsidR="0054526D" w:rsidRPr="0054526D" w:rsidRDefault="0054526D" w:rsidP="0054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526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Customer-facing data delivery</w:t>
            </w:r>
          </w:p>
        </w:tc>
      </w:tr>
      <w:tr w:rsidR="0054526D" w:rsidRPr="0054526D" w:rsidTr="00BA62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526D" w:rsidRPr="0054526D" w:rsidRDefault="0054526D" w:rsidP="0054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5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54526D" w:rsidRPr="0054526D" w:rsidRDefault="0054526D" w:rsidP="0054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5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$12.64</w:t>
            </w:r>
          </w:p>
        </w:tc>
        <w:tc>
          <w:tcPr>
            <w:tcW w:w="0" w:type="auto"/>
            <w:vAlign w:val="center"/>
            <w:hideMark/>
          </w:tcPr>
          <w:p w:rsidR="0054526D" w:rsidRPr="0054526D" w:rsidRDefault="0054526D" w:rsidP="0054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52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54526D" w:rsidRPr="0054526D" w:rsidRDefault="0054526D" w:rsidP="005452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526D">
              <w:rPr>
                <w:rFonts w:ascii="Times New Roman" w:eastAsia="Times New Roman" w:hAnsi="Times New Roman" w:cs="Times New Roman"/>
                <w:sz w:val="24"/>
                <w:szCs w:val="24"/>
              </w:rPr>
              <w:t>Cost-efficient entry point</w:t>
            </w:r>
          </w:p>
        </w:tc>
      </w:tr>
    </w:tbl>
    <w:p w:rsidR="0054526D" w:rsidRPr="0054526D" w:rsidRDefault="0054526D" w:rsidP="00545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26D">
        <w:rPr>
          <w:rFonts w:ascii="Times New Roman" w:eastAsia="Times New Roman" w:hAnsi="Times New Roman" w:cs="Times New Roman"/>
          <w:b/>
          <w:bCs/>
          <w:sz w:val="24"/>
          <w:szCs w:val="24"/>
        </w:rPr>
        <w:t>Unit-Economic Impact:</w:t>
      </w:r>
      <w:r w:rsidRPr="0054526D">
        <w:rPr>
          <w:rFonts w:ascii="Times New Roman" w:eastAsia="Times New Roman" w:hAnsi="Times New Roman" w:cs="Times New Roman"/>
          <w:sz w:val="24"/>
          <w:szCs w:val="24"/>
        </w:rPr>
        <w:t xml:space="preserve"> If this infrastructure supports 1,000 active users, the Infrastructure Cost Per User (ICPU) drops to just </w:t>
      </w:r>
      <w:r w:rsidRPr="0054526D">
        <w:rPr>
          <w:rFonts w:ascii="Times New Roman" w:eastAsia="Times New Roman" w:hAnsi="Times New Roman" w:cs="Times New Roman"/>
          <w:b/>
          <w:bCs/>
          <w:sz w:val="24"/>
          <w:szCs w:val="24"/>
        </w:rPr>
        <w:t>$0.012</w:t>
      </w:r>
      <w:r w:rsidRPr="0054526D">
        <w:rPr>
          <w:rFonts w:ascii="Times New Roman" w:eastAsia="Times New Roman" w:hAnsi="Times New Roman" w:cs="Times New Roman"/>
          <w:sz w:val="24"/>
          <w:szCs w:val="24"/>
        </w:rPr>
        <w:t xml:space="preserve"> per month. This extremely low per-user cost delivers substantial profit margins, providing ample room for elevated Customer Acquisition Costs (CAC) or highly competitive pricing.</w:t>
      </w:r>
    </w:p>
    <w:p w:rsidR="0054526D" w:rsidRPr="0054526D" w:rsidRDefault="0054526D" w:rsidP="0054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26D">
        <w:rPr>
          <w:rFonts w:ascii="Times New Roman" w:eastAsia="Times New Roman" w:hAnsi="Times New Roman" w:cs="Times New Roman"/>
          <w:b/>
          <w:bCs/>
          <w:sz w:val="27"/>
          <w:szCs w:val="27"/>
        </w:rPr>
        <w:t>3. Business Justification</w:t>
      </w:r>
    </w:p>
    <w:p w:rsidR="0054526D" w:rsidRPr="0054526D" w:rsidRDefault="0054526D" w:rsidP="00545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26D">
        <w:rPr>
          <w:rFonts w:ascii="Times New Roman" w:eastAsia="Times New Roman" w:hAnsi="Times New Roman" w:cs="Times New Roman"/>
          <w:sz w:val="24"/>
          <w:szCs w:val="24"/>
        </w:rPr>
        <w:t>The decision is supported by three important factors:</w:t>
      </w:r>
    </w:p>
    <w:p w:rsidR="0054526D" w:rsidRPr="0054526D" w:rsidRDefault="0054526D" w:rsidP="005452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26D">
        <w:rPr>
          <w:rFonts w:ascii="Times New Roman" w:eastAsia="Times New Roman" w:hAnsi="Times New Roman" w:cs="Times New Roman"/>
          <w:b/>
          <w:bCs/>
          <w:sz w:val="24"/>
          <w:szCs w:val="24"/>
        </w:rPr>
        <w:t>Low Entry Barrier:</w:t>
      </w:r>
      <w:r w:rsidRPr="0054526D">
        <w:rPr>
          <w:rFonts w:ascii="Times New Roman" w:eastAsia="Times New Roman" w:hAnsi="Times New Roman" w:cs="Times New Roman"/>
          <w:sz w:val="24"/>
          <w:szCs w:val="24"/>
        </w:rPr>
        <w:t xml:space="preserve"> A monthly expenditure of less than $13 for a complete, multi-instance production environment represents a very small investment. This enables quick pivots or scaling with minimal financial risk.</w:t>
      </w:r>
    </w:p>
    <w:p w:rsidR="0054526D" w:rsidRPr="0054526D" w:rsidRDefault="0054526D" w:rsidP="005452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26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Predictable Egress Costs:</w:t>
      </w:r>
      <w:r w:rsidRPr="0054526D">
        <w:rPr>
          <w:rFonts w:ascii="Times New Roman" w:eastAsia="Times New Roman" w:hAnsi="Times New Roman" w:cs="Times New Roman"/>
          <w:sz w:val="24"/>
          <w:szCs w:val="24"/>
        </w:rPr>
        <w:t xml:space="preserve"> Although bandwidth accounts for the highest share (41.8%), it correlates directly with user activity. As the business grows, this expense remains linear and easy to forecast.</w:t>
      </w:r>
    </w:p>
    <w:p w:rsidR="0054526D" w:rsidRPr="0054526D" w:rsidRDefault="0054526D" w:rsidP="005452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26D">
        <w:rPr>
          <w:rFonts w:ascii="Times New Roman" w:eastAsia="Times New Roman" w:hAnsi="Times New Roman" w:cs="Times New Roman"/>
          <w:b/>
          <w:bCs/>
          <w:sz w:val="24"/>
          <w:szCs w:val="24"/>
        </w:rPr>
        <w:t>Future-Proofing:</w:t>
      </w:r>
      <w:r w:rsidRPr="0054526D">
        <w:rPr>
          <w:rFonts w:ascii="Times New Roman" w:eastAsia="Times New Roman" w:hAnsi="Times New Roman" w:cs="Times New Roman"/>
          <w:sz w:val="24"/>
          <w:szCs w:val="24"/>
        </w:rPr>
        <w:t xml:space="preserve"> Relying on GCP’s managed services for both NoSQL and High-CPU compute significantly lowers the Total Cost of Ownership (TCO) by removing the need for manual server upkeep and complex database management.</w:t>
      </w:r>
    </w:p>
    <w:p w:rsidR="0054526D" w:rsidRPr="0054526D" w:rsidRDefault="0054526D" w:rsidP="0054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26D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54526D" w:rsidRPr="0054526D" w:rsidRDefault="0054526D" w:rsidP="00545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26D">
        <w:rPr>
          <w:rFonts w:ascii="Times New Roman" w:eastAsia="Times New Roman" w:hAnsi="Times New Roman" w:cs="Times New Roman"/>
          <w:sz w:val="24"/>
          <w:szCs w:val="24"/>
        </w:rPr>
        <w:t>The evaluation shows that the proposed architecture is efficient, scalable, and highly profitable on a per-unit basis. We recommend approving this deployment to achieve strong unit economics while delivering the high-performance experience our users expect.</w:t>
      </w:r>
    </w:p>
    <w:p w:rsidR="002E049F" w:rsidRDefault="002E049F"/>
    <w:sectPr w:rsidR="002E0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C42EA"/>
    <w:multiLevelType w:val="multilevel"/>
    <w:tmpl w:val="B65A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26D"/>
    <w:rsid w:val="002E049F"/>
    <w:rsid w:val="0054526D"/>
    <w:rsid w:val="00BA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DCF614-DF90-4740-BCB6-D819BE787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52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526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452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52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8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4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Daulet Kaiyrzhan</dc:creator>
  <cp:keywords/>
  <dc:description/>
  <cp:lastModifiedBy>Daulet Kaiyrzhan</cp:lastModifiedBy>
  <cp:revision>2</cp:revision>
  <dcterms:created xsi:type="dcterms:W3CDTF">2026-03-19T08:12:00Z</dcterms:created>
  <dcterms:modified xsi:type="dcterms:W3CDTF">2026-03-19T08:15:00Z</dcterms:modified>
</cp:coreProperties>
</file>