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ndice-delle-risorse"/>
    <w:p>
      <w:pPr>
        <w:pStyle w:val="Heading1"/>
      </w:pPr>
      <w:r>
        <w:t xml:space="preserve">Indice delle Risorse</w:t>
      </w:r>
    </w:p>
    <w:p>
      <w:pPr>
        <w:pStyle w:val="FirstParagraph"/>
      </w:pPr>
      <w:r>
        <w:rPr>
          <w:i/>
          <w:iCs/>
        </w:rPr>
        <w:t xml:space="preserve">Da</w:t>
      </w:r>
      <w:r>
        <w:rPr>
          <w:i/>
          <w:iCs/>
        </w:rPr>
        <w:t xml:space="preserve"> </w:t>
      </w:r>
      <w:r>
        <w:rPr>
          <w:i/>
          <w:iCs/>
        </w:rPr>
        <w:t xml:space="preserve">“Intelligenza Artificiale in Pratica per chi lavora”</w:t>
      </w:r>
      <w:r>
        <w:rPr>
          <w:i/>
          <w:iCs/>
        </w:rPr>
        <w:t xml:space="preserve"> </w:t>
      </w:r>
      <w:r>
        <w:rPr>
          <w:i/>
          <w:iCs/>
        </w:rPr>
        <w:t xml:space="preserve">— Aliosha Battaglini</w:t>
      </w:r>
    </w:p>
    <w:p>
      <w:pPr>
        <w:pStyle w:val="BodyText"/>
      </w:pPr>
      <w:r>
        <w:t xml:space="preserve">Benvenuto. Queste sono tutte le risorse operative del libro: diagnosi, prompt, template, roadmap e checklist pronte all’uso. Niente teoria, solo strumenti che puoi usare già da oggi nel lavoro reale.</w:t>
      </w:r>
    </w:p>
    <w:bookmarkStart w:id="9" w:name="come-usare-le-risorse"/>
    <w:p>
      <w:pPr>
        <w:pStyle w:val="Heading2"/>
      </w:pPr>
      <w:r>
        <w:t xml:space="preserve">Come usare le risorse</w:t>
      </w:r>
    </w:p>
    <w:p>
      <w:pPr>
        <w:pStyle w:val="FirstParagraph"/>
      </w:pPr>
      <w:r>
        <w:t xml:space="preserve">Non scaricarle tutte insieme. Parti dalla</w:t>
      </w:r>
      <w:r>
        <w:t xml:space="preserve"> </w:t>
      </w:r>
      <w:r>
        <w:rPr>
          <w:b/>
          <w:bCs/>
        </w:rPr>
        <w:t xml:space="preserve">Risorsa 01 (Diagnosi)</w:t>
      </w:r>
      <w:r>
        <w:t xml:space="preserve">: scopri in quali aree la tua azienda perde più tempo, poi prendi solo le risorse che servono a quei processi. Un passo alla volta vale più di venti file dimenticati in una cartella.</w:t>
      </w:r>
    </w:p>
    <w:p>
      <w:pPr>
        <w:pStyle w:val="BodyText"/>
      </w:pPr>
      <w:r>
        <w:t xml:space="preserve">Ogni risorsa è collegata a un capitolo del libro. Trovi il formato accanto a ogni titolo (PDF, DOCX o XLSX).</w:t>
      </w:r>
    </w:p>
    <w:bookmarkEnd w:id="9"/>
    <w:bookmarkStart w:id="10" w:name="le-risorse-capitolo-per-capitolo"/>
    <w:p>
      <w:pPr>
        <w:pStyle w:val="Heading2"/>
      </w:pPr>
      <w:r>
        <w:t xml:space="preserve">Le risorse, capitolo per capitolo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</w:t>
            </w:r>
          </w:p>
        </w:tc>
        <w:tc>
          <w:tcPr/>
          <w:p>
            <w:pPr>
              <w:pStyle w:val="Compact"/>
            </w:pPr>
            <w:r>
              <w:t xml:space="preserve">Risorsa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Capitolo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Diagnosi: dove l’AI ti fa risparmiare più tempo</w:t>
            </w:r>
          </w:p>
        </w:tc>
        <w:tc>
          <w:tcPr/>
          <w:p>
            <w:pPr>
              <w:pStyle w:val="Compact"/>
            </w:pPr>
            <w:r>
              <w:t xml:space="preserve">PDF · DOCX</w:t>
            </w:r>
          </w:p>
        </w:tc>
        <w:tc>
          <w:tcPr/>
          <w:p>
            <w:pPr>
              <w:pStyle w:val="Compact"/>
            </w:pPr>
            <w:r>
              <w:t xml:space="preserve">Cap.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Libreria 50 Prompt per chi lavora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Cap.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Policy AI Interna (pronta in 30 minuti)</w:t>
            </w:r>
          </w:p>
        </w:tc>
        <w:tc>
          <w:tcPr/>
          <w:p>
            <w:pPr>
              <w:pStyle w:val="Compact"/>
            </w:pPr>
            <w:r>
              <w:t xml:space="preserve">PDF · DOCX</w:t>
            </w:r>
          </w:p>
        </w:tc>
        <w:tc>
          <w:tcPr/>
          <w:p>
            <w:pPr>
              <w:pStyle w:val="Compact"/>
            </w:pPr>
            <w:r>
              <w:t xml:space="preserve">Cap.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Confronto Strumenti AI (12 strumenti)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Cap.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Quale strumento AI scegliere per primo</w:t>
            </w:r>
          </w:p>
        </w:tc>
        <w:tc>
          <w:tcPr/>
          <w:p>
            <w:pPr>
              <w:pStyle w:val="Compact"/>
            </w:pPr>
            <w:r>
              <w:t xml:space="preserve">PDF · DOCX</w:t>
            </w:r>
          </w:p>
        </w:tc>
        <w:tc>
          <w:tcPr/>
          <w:p>
            <w:pPr>
              <w:pStyle w:val="Compact"/>
            </w:pPr>
            <w:r>
              <w:t xml:space="preserve">Cap.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12 Scaffold di prompt + 38 prompt avanzati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Cap.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Calendario Editoriale (30 giorni)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Cap.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Template Newsletter mensile</w:t>
            </w:r>
          </w:p>
        </w:tc>
        <w:tc>
          <w:tcPr/>
          <w:p>
            <w:pPr>
              <w:pStyle w:val="Compact"/>
            </w:pPr>
            <w:r>
              <w:t xml:space="preserve">PDF · DOCX</w:t>
            </w:r>
          </w:p>
        </w:tc>
        <w:tc>
          <w:tcPr/>
          <w:p>
            <w:pPr>
              <w:pStyle w:val="Compact"/>
            </w:pPr>
            <w:r>
              <w:t xml:space="preserve">Cap.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Template Offerta Commerciale (7 sezioni)</w:t>
            </w:r>
          </w:p>
        </w:tc>
        <w:tc>
          <w:tcPr/>
          <w:p>
            <w:pPr>
              <w:pStyle w:val="Compact"/>
            </w:pPr>
            <w:r>
              <w:t xml:space="preserve">PDF · DOCX</w:t>
            </w:r>
          </w:p>
        </w:tc>
        <w:tc>
          <w:tcPr/>
          <w:p>
            <w:pPr>
              <w:pStyle w:val="Compact"/>
            </w:pPr>
            <w:r>
              <w:t xml:space="preserve">Cap.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CRM Minimo + forecast pesato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Cap.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Chiusura Mensile + P&amp;L automatico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Cap.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Sistema Customer Care con l’AI</w:t>
            </w:r>
          </w:p>
        </w:tc>
        <w:tc>
          <w:tcPr/>
          <w:p>
            <w:pPr>
              <w:pStyle w:val="Compact"/>
            </w:pPr>
            <w:r>
              <w:t xml:space="preserve">PDF · DOCX</w:t>
            </w:r>
          </w:p>
        </w:tc>
        <w:tc>
          <w:tcPr/>
          <w:p>
            <w:pPr>
              <w:pStyle w:val="Compact"/>
            </w:pPr>
            <w:r>
              <w:t xml:space="preserve">Cap.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Sistema di Formazione Interna con l’AI</w:t>
            </w:r>
          </w:p>
        </w:tc>
        <w:tc>
          <w:tcPr/>
          <w:p>
            <w:pPr>
              <w:pStyle w:val="Compact"/>
            </w:pPr>
            <w:r>
              <w:t xml:space="preserve">PDF · DOCX</w:t>
            </w:r>
          </w:p>
        </w:tc>
        <w:tc>
          <w:tcPr/>
          <w:p>
            <w:pPr>
              <w:pStyle w:val="Compact"/>
            </w:pPr>
            <w:r>
              <w:t xml:space="preserve">Cap.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Roadmap Automazioni AI (12 workflow)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Cap.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Policy AI Interna (versione estesa)</w:t>
            </w:r>
          </w:p>
        </w:tc>
        <w:tc>
          <w:tcPr/>
          <w:p>
            <w:pPr>
              <w:pStyle w:val="Compact"/>
            </w:pPr>
            <w:r>
              <w:t xml:space="preserve">PDF · DOCX</w:t>
            </w:r>
          </w:p>
        </w:tc>
        <w:tc>
          <w:tcPr/>
          <w:p>
            <w:pPr>
              <w:pStyle w:val="Compact"/>
            </w:pPr>
            <w:r>
              <w:t xml:space="preserve">Cap.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Roadmap AI 24 Mesi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Cap.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Checklist 30 giorni per partire con l’AI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Appendice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Preventivi vincenti con NotebookLM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Cap.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Order-to-Cash con l’AI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Cap.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</w:t>
            </w:r>
          </w:p>
        </w:tc>
        <w:tc>
          <w:tcPr/>
          <w:p>
            <w:pPr>
              <w:pStyle w:val="Compact"/>
            </w:pPr>
            <w:r>
              <w:t xml:space="preserve">Script del Video di Benvenuto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da-dove-partire-i-3-consigli"/>
    <w:p>
      <w:pPr>
        <w:pStyle w:val="Heading2"/>
      </w:pPr>
      <w:r>
        <w:t xml:space="preserve">Da dove partire (i 3 consigli)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Compila la Diagnosi (01)</w:t>
      </w:r>
      <w:r>
        <w:t xml:space="preserve"> </w:t>
      </w:r>
      <w:r>
        <w:t xml:space="preserve">e individua le tue 2 aree prioritarie.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Scegli il tuo strumento principale</w:t>
      </w:r>
      <w:r>
        <w:t xml:space="preserve"> </w:t>
      </w:r>
      <w:r>
        <w:t xml:space="preserve">con il Decision Tree (05) e attiva solo quello.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Segui la Checklist 30 giorni (17)</w:t>
      </w:r>
      <w:r>
        <w:t xml:space="preserve"> </w:t>
      </w:r>
      <w:r>
        <w:t xml:space="preserve">per costruire l’abitudine, un processo alla volta.</w:t>
      </w:r>
    </w:p>
    <w:p>
      <w:pPr>
        <w:pStyle w:val="FirstParagraph"/>
      </w:pPr>
      <w:r>
        <w:t xml:space="preserve">Buon lavoro. Se una risorsa ti è utile, scrivimi: leggo io le email, una per una.</w:t>
      </w:r>
    </w:p>
    <w:p>
      <w:pPr>
        <w:pStyle w:val="BodyText"/>
      </w:pPr>
      <w:r>
        <w:t xml:space="preserve">© 2026 Aliosha Battaglini · aiosha.it · info@aiosha.it</w:t>
      </w:r>
    </w:p>
    <w:bookmarkEnd w:id="11"/>
    <w:bookmarkEnd w:id="1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 Neue" w:hAnsi="Helvetica Neue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Helvetica Neue" w:asciiTheme="majorHAnsi" w:cstheme="majorBidi" w:eastAsiaTheme="majorEastAsia" w:hAnsi="Helvetica Neue" w:hAnsiTheme="majorHAnsi"/>
      <w:b/>
      <w:bCs/>
      <w:color w:val="00A8E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Helvetica Neue" w:asciiTheme="majorHAnsi" w:cstheme="majorBidi" w:eastAsiaTheme="majorEastAsia" w:hAnsi="Helvetica Neue" w:hAnsiTheme="majorHAnsi"/>
      <w:b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2026-06-01T22:24:37Z</dcterms:created>
  <dcterms:modified xsi:type="dcterms:W3CDTF">2026-06-01T22:24:37Z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