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single" w:color="00BCD4" w:sz="24"/>
              <w:right w:val="none"/>
            </w:tcBorders>
            <w:shd w:fill="000000" w:color="auto" w:val="clear"/>
            <w:tcMar>
              <w:top w:type="dxa" w:w="800"/>
              <w:left w:type="dxa" w:w="480"/>
              <w:bottom w:type="dxa" w:w="800"/>
              <w:right w:type="dxa" w:w="480"/>
            </w:tcMar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logo" descr="logo" title="AIOsh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60"/>
              <w:jc w:val="center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200"/>
                <w:sz w:val="24"/>
                <w:szCs w:val="24"/>
              </w:rPr>
              <w:t xml:space="preserve">RISORSA 00</w:t>
            </w:r>
          </w:p>
          <w:p>
            <w:pPr>
              <w:spacing w:after="200"/>
              <w:jc w:val="center"/>
            </w:pPr>
            <w:r>
              <w:rPr>
                <w:rFonts w:ascii="Calibri Light" w:cs="Calibri Light" w:eastAsia="Calibri Light" w:hAnsi="Calibri Light"/>
                <w:b/>
                <w:bCs/>
                <w:color w:val="FFFFFF"/>
                <w:sz w:val="48"/>
                <w:szCs w:val="48"/>
              </w:rPr>
              <w:t xml:space="preserve">Indice risorse</w:t>
            </w:r>
          </w:p>
          <w:p>
            <w:pPr>
              <w:spacing w:after="200"/>
              <w:jc w:val="center"/>
            </w:pPr>
            <w:r>
              <w:rPr>
                <w:rFonts w:ascii="Calibri Light" w:cs="Calibri Light" w:eastAsia="Calibri Light" w:hAnsi="Calibri Light"/>
                <w:i/>
                <w:iCs/>
                <w:color w:val="B0E5EE"/>
                <w:sz w:val="22"/>
                <w:szCs w:val="22"/>
              </w:rPr>
              <w:t xml:space="preserve">Tutte le risorse scaricabili del libro AIOsha</w:t>
            </w:r>
          </w:p>
          <w:p>
            <w:pPr>
              <w:spacing w:after="0" w:before="480"/>
              <w:jc w:val="center"/>
            </w:pPr>
            <w:r>
              <w:rPr>
                <w:rFonts w:ascii="Calibri Light" w:cs="Calibri Light" w:eastAsia="Calibri Light" w:hAnsi="Calibri Light"/>
                <w:color w:val="B0E5EE"/>
                <w:sz w:val="18"/>
                <w:szCs w:val="18"/>
              </w:rPr>
              <w:t xml:space="preserve">Da "Intelligenza Artificiale in Pratica per PMI" — Aliosha Battaglini</w:t>
            </w:r>
          </w:p>
        </w:tc>
      </w:tr>
    </w:tbl>
    <w:p>
      <w:r>
        <w:br w:type="page"/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Indice delle risorse scaricabili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Questo è l'elenco completo delle risorse companion del libro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Intelligenza Artificiale in Pratica per PMI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di Aliosha Battaglini. Ogni risorsa è richiamata nel libro con un riquadro QR ben visibile.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Le risorse sono raggruppate per area operativa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, così sai subito cosa caricare quando affronti un tema specifico. Se invece vuoi l'ordine cronologico con cui compaiono nel libro, trovi anche quello a fine documento.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Importante: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i QR code sono da inserire dopo la stampa o l'esportazione finale. Nel libro è segnalata in modo evidente la posizione di ciascuno (riquadro "Risorsa NN — Scarica").</w:t>
      </w:r>
    </w:p>
    <w:p>
      <w:pPr>
        <w:spacing w:after="120"/>
      </w:pPr>
      <w:r>
        <w:t xml:space="preserve"/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Area 1 — Start &amp; Diagnosi (per iniziare)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01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Diagnosi PMI: 18 domande in 4 aree per capire da dove partire.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(Word/PDF)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04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Confronto Tool AI per PMI: 12 strumenti confrontati + selettore guidato per scegliere il tuo.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(Excel)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05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Decision Tree: quale tool AI scegliere in base a budget, caso d'uso e livello tecnico.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(Word/PDF)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17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Checklist 30 Giorni: 1 azione AI al giorno per il primo mese.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(PDF stampabile)</w:t>
      </w:r>
    </w:p>
    <w:p>
      <w:pPr>
        <w:spacing w:after="120"/>
      </w:pPr>
      <w:r>
        <w:t xml:space="preserve"/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Area 2 — Marketing &amp; Contenuti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02 / 06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Libreria 50 Prompt PMI: vendite, marketing, customer care, admin, HR.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(Word/PDF)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07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Calendario Editoriale 12 settimane: 36 post precompilati + dashboard.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(Excel)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08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Template Newsletter Mensile + 5 prompt AI per montarla dai contenuti social.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(Word/PDF)</w:t>
      </w:r>
    </w:p>
    <w:p>
      <w:pPr>
        <w:spacing w:after="120"/>
      </w:pPr>
      <w:r>
        <w:t xml:space="preserve"/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Area 3 — Vendite &amp; Preventivi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09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Template Offerta Commerciale: struttura in 7 sezioni + esempio compilato + prompt master.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(Word/PDF)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10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CRM Minimo PMI: foglio Excel completo + prompt revisione settimanale AI.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(Excel)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18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Preventivi Infallibili con NotebookLM: guida step-by-step, prompt master, 3 esempi di offerte.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(Word/PDF)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⭐ bonus del capitolo 6</w:t>
      </w:r>
    </w:p>
    <w:p>
      <w:pPr>
        <w:spacing w:after="120"/>
      </w:pPr>
      <w:r>
        <w:t xml:space="preserve"/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Area 4 — Amministrazione &amp; Fisco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11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Chiusura Mensile AI-assistita: template Excel + istruzioni GPT + esempio Bollettino Mese.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(Excel)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19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Order-to-Cash AI per B2B/Manifattura: mappa di 12 soluzioni + checklist vendor + business case.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(Excel)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⭐ bonus del capitolo 7</w:t>
      </w:r>
    </w:p>
    <w:p>
      <w:pPr>
        <w:spacing w:after="120"/>
      </w:pPr>
      <w:r>
        <w:t xml:space="preserve"/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Area 5 — Customer Care &amp; Relazione Cliente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12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Customer Care AI: template knowledge base + 20 prompt + procedure triage/sentiment.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(Word/PDF)</w:t>
      </w:r>
    </w:p>
    <w:p>
      <w:pPr>
        <w:spacing w:after="120"/>
      </w:pPr>
      <w:r>
        <w:t xml:space="preserve"/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Area 6 — Persone &amp; Formazione Interna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13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Formazione Interna AI: estrazione conoscenza + onboarding + podcast NotebookLM.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(Word/PDF)</w:t>
      </w:r>
    </w:p>
    <w:p>
      <w:pPr>
        <w:spacing w:after="120"/>
      </w:pPr>
      <w:r>
        <w:t xml:space="preserve"/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Area 7 — Agenti, Automazioni &amp; Governance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14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Roadmap Automazioni: 12 workflow agentici concreti (Make.com, n8n, Zapier).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(Word/PDF)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15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Policy AI Estesa: 11 sezioni + allegati legali.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(Word/PDF)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03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Policy AI Interna breve: 4 pagine da firmare subito per partire conformi.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(Word/PDF)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Risorsa 16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— Roadmap AI 24 Mesi: 8 trimestri pianificati + Gantt visivo.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(Excel)</w:t>
      </w:r>
    </w:p>
    <w:p>
      <w:pPr>
        <w:spacing w:after="120"/>
      </w:pPr>
      <w:r>
        <w:t xml:space="preserve"/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Area 8 — Bonus Video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Bonus — Script Video Companion: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6 script pronti per video brevi 1-3 minuti (lancio libro o formazione interna).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(Word/PDF)</w:t>
      </w:r>
    </w:p>
    <w:p>
      <w:pPr>
        <w:spacing w:after="120"/>
      </w:pPr>
      <w:r>
        <w:t xml:space="preserve"/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Elenco numerico completo (ordine dentro il libro)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01 — Diagnosi PMI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02 — Libreria 50 Prompt PMI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03 — Policy AI Interna breve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04 — Confronto Tool AI per PMI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(Excel)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05 — Decision Tree tool AI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06 — 50 Prompt PMI (focus formazione)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07 — Calendario Editoriale 12 settimane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(Excel)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08 — Template Newsletter mensile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09 — Template Offerta Commerciale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10 — CRM Minimo PMI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(Excel)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11 — Chiusura Mensile AI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(Excel)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12 — Customer Care AI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13 — Formazione Interna AI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14 — Roadmap Automazioni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15 — Policy AI Estesa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16 — Roadmap AI 24 Mesi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(Excel)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17 — Checklist 30 Giorni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(PDF)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18 — Preventivi Infallibili con NotebookLM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19 — Order-to-Cash AI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(Excel)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Bonus — Script Video Companion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(Word)</w:t>
      </w:r>
    </w:p>
    <w:p>
      <w:pPr>
        <w:spacing w:after="120"/>
      </w:pPr>
      <w:r>
        <w:t xml:space="preserve"/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Come usare le risorse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Le risorse sono pensate per essere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adattate alla tua PMI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. Non sono template rigidi: prendili, modificali, falli tuoi.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Suggerimento operativo: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non scaricare tutto subito. Quando il libro ti rimanda a una risorsa, scarica QUELLA e usala. Se scarichi tutto in blocco, finiranno in una cartella e non le aprirai mai più.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Percorso consigliato se vuoi fare sul serio: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Area 1 (Start &amp; Diagnosi) nella prima settimana → scegli UNA delle aree operative (Marketing, Vendite, Amministrazione, Customer Care, Formazione) e lavora SOLO su quella per 30 giorni → dopo un mese apri la seconda area. Non fare tutto insieme.</w:t>
      </w:r>
    </w:p>
    <w:p>
      <w:pPr>
        <w:spacing w:after="120"/>
      </w:pPr>
      <w:r>
        <w:t xml:space="preserve"/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Aggiornamenti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Le risorse vengono aggiornate periodicamente. La data di ultima revisione è indicata su ciascun documento.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Per segnalazioni, errori o richieste: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info@aiosha.it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BCD4" w:sz="4" w:space="6"/>
      </w:pBdr>
      <w:jc w:val="center"/>
    </w:pPr>
    <w:r>
      <w:rPr>
        <w:rFonts w:ascii="Calibri" w:cs="Calibri" w:eastAsia="Calibri" w:hAnsi="Calibri"/>
        <w:color w:val="5A6470"/>
        <w:sz w:val="14"/>
        <w:szCs w:val="14"/>
      </w:rPr>
      <w:t xml:space="preserve">AIOsha · Pagina </w:t>
    </w:r>
    <w:r>
      <w:rPr>
        <w:rFonts w:ascii="Calibri" w:cs="Calibri" w:eastAsia="Calibri" w:hAnsi="Calibri"/>
        <w:b/>
        <w:bCs/>
        <w:color w:val="00838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BCD4" w:sz="4" w:space="6"/>
      </w:pBdr>
      <w:tabs>
        <w:tab w:val="right" w:pos="9026"/>
      </w:tabs>
    </w:pPr>
    <w:r>
      <w:rPr>
        <w:rFonts w:ascii="Calibri Light" w:cs="Calibri Light" w:eastAsia="Calibri Light" w:hAnsi="Calibri Light"/>
        <w:b/>
        <w:bCs/>
        <w:color w:val="00838F"/>
        <w:sz w:val="16"/>
        <w:szCs w:val="16"/>
      </w:rPr>
      <w:t xml:space="preserve">AIOsha · </w:t>
    </w:r>
    <w:r>
      <w:rPr>
        <w:rFonts w:ascii="Calibri" w:cs="Calibri" w:eastAsia="Calibri" w:hAnsi="Calibri"/>
        <w:color w:val="5A6470"/>
        <w:sz w:val="16"/>
        <w:szCs w:val="16"/>
      </w:rPr>
      <w:t xml:space="preserve">Risorsa 00</w:t>
    </w:r>
    <w:r>
      <w:rPr>
        <w:rFonts w:ascii="Calibri" w:cs="Calibri" w:eastAsia="Calibri" w:hAnsi="Calibri"/>
        <w:i/>
        <w:iCs/>
        <w:color w:val="5A6470"/>
        <w:sz w:val="16"/>
        <w:szCs w:val="16"/>
      </w:rPr>
      <w:t xml:space="preserve">	info@aiosha.it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540" w:hanging="280"/>
      </w:pPr>
      <w:rPr>
        <w:rFonts w:ascii="Calibri Light" w:cs="Calibri Light" w:eastAsia="Calibri Light" w:hAnsi="Calibri Light"/>
        <w:b/>
        <w:bCs/>
        <w:color w:val="00BCD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  <w:rPr>
        <w:rFonts w:ascii="Calibri Light" w:cs="Calibri Light" w:eastAsia="Calibri Light" w:hAnsi="Calibri Light"/>
        <w:b/>
        <w:bCs/>
        <w:color w:val="00838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 Light" w:cs="Calibri Light" w:eastAsia="Calibri Light" w:hAnsi="Calibri Light"/>
      <w:b/>
      <w:bCs/>
      <w:color w:val="0A1F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 Light" w:cs="Calibri Light" w:eastAsia="Calibri Light" w:hAnsi="Calibri Light"/>
      <w:b/>
      <w:bCs/>
      <w:color w:val="00838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0f40ff94277ff2644d45871cab34fba027c7bf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Indice risorse</dc:title>
  <dc:creator>Aliosha Battaglini</dc:creator>
  <cp:lastModifiedBy>Un-named</cp:lastModifiedBy>
  <cp:revision>1</cp:revision>
  <dcterms:created xsi:type="dcterms:W3CDTF">2026-04-14T22:07:31.938Z</dcterms:created>
  <dcterms:modified xsi:type="dcterms:W3CDTF">2026-04-14T22:07:31.938Z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