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/>
              <w:left w:val="none"/>
              <w:bottom w:val="single" w:color="00BCD4" w:sz="24"/>
              <w:right w:val="none"/>
            </w:tcBorders>
            <w:shd w:fill="000000" w:color="auto" w:val="clear"/>
            <w:tcMar>
              <w:top w:type="dxa" w:w="800"/>
              <w:left w:type="dxa" w:w="480"/>
              <w:bottom w:type="dxa" w:w="800"/>
              <w:right w:type="dxa" w:w="480"/>
            </w:tcMar>
          </w:tcPr>
          <w:p>
            <w:pPr>
              <w:spacing w:after="20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logo" descr="logo" title="AIOsh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60"/>
              <w:jc w:val="center"/>
            </w:pPr>
            <w:r>
              <w:rPr>
                <w:rFonts w:ascii="Calibri Light" w:cs="Calibri Light" w:eastAsia="Calibri Light" w:hAnsi="Calibri Light"/>
                <w:b/>
                <w:bCs/>
                <w:color w:val="00BCD4"/>
                <w:spacing w:val="200"/>
                <w:sz w:val="24"/>
                <w:szCs w:val="24"/>
              </w:rPr>
              <w:t xml:space="preserve">RISORSA 01</w:t>
            </w:r>
          </w:p>
          <w:p>
            <w:pPr>
              <w:spacing w:after="200"/>
              <w:jc w:val="center"/>
            </w:pPr>
            <w:r>
              <w:rPr>
                <w:rFonts w:ascii="Calibri Light" w:cs="Calibri Light" w:eastAsia="Calibri Light" w:hAnsi="Calibri Light"/>
                <w:b/>
                <w:bCs/>
                <w:color w:val="FFFFFF"/>
                <w:sz w:val="48"/>
                <w:szCs w:val="48"/>
              </w:rPr>
              <w:t xml:space="preserve">Diagnosi dei colli di bottiglia della tua PMI</w:t>
            </w:r>
          </w:p>
          <w:p>
            <w:pPr>
              <w:spacing w:after="200"/>
              <w:jc w:val="center"/>
            </w:pPr>
            <w:r>
              <w:rPr>
                <w:rFonts w:ascii="Calibri Light" w:cs="Calibri Light" w:eastAsia="Calibri Light" w:hAnsi="Calibri Light"/>
                <w:i/>
                <w:iCs/>
                <w:color w:val="B0E5EE"/>
                <w:sz w:val="22"/>
                <w:szCs w:val="22"/>
              </w:rPr>
              <w:t xml:space="preserve">18 domande per individuare i 3 processi a maggior potenziale AI</w:t>
            </w:r>
          </w:p>
          <w:p>
            <w:pPr>
              <w:spacing w:after="0" w:before="480"/>
              <w:jc w:val="center"/>
            </w:pPr>
            <w:r>
              <w:rPr>
                <w:rFonts w:ascii="Calibri Light" w:cs="Calibri Light" w:eastAsia="Calibri Light" w:hAnsi="Calibri Light"/>
                <w:color w:val="B0E5EE"/>
                <w:sz w:val="18"/>
                <w:szCs w:val="18"/>
              </w:rPr>
              <w:t xml:space="preserve">Da "Intelligenza Artificiale in Pratica per PMI" — Aliosha Battaglini</w:t>
            </w:r>
          </w:p>
        </w:tc>
      </w:tr>
    </w:tbl>
    <w:p>
      <w:r>
        <w:br w:type="page"/>
      </w:r>
    </w:p>
    <w:p>
      <w:pPr>
        <w:pBdr>
          <w:bottom w:val="single" w:color="00BCD4" w:sz="12" w:space="8"/>
        </w:pBdr>
        <w:spacing w:after="200" w:before="240"/>
      </w:pPr>
      <w:r>
        <w:rPr>
          <w:rFonts w:ascii="Calibri Light" w:cs="Calibri Light" w:eastAsia="Calibri Light" w:hAnsi="Calibri Light"/>
          <w:b/>
          <w:bCs/>
          <w:color w:val="0A1F2E"/>
          <w:sz w:val="36"/>
          <w:szCs w:val="36"/>
        </w:rPr>
        <w:t xml:space="preserve">Come si usa questa diagnosi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Questa diagnosi serve a identificare, 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prima ancora di scegliere uno strumento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, quali sono i processi della tua azienda che otterrebbero il massimo beneficio dall'introduzione dell'AI generativa. Risponde a 18 domande in 4 aree (Operatività, Comunicazione, Dati &amp; Reportistica, Persone).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Per ogni domanda, segna un punteggio da 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0 a 3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: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0 = non rilevante per noi; 1 = poco rilevante; 2 = importante; 3 = critico/urgente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. Alla fine somma per area e identifica le 3 aree con punteggio più alto: sono quelle dove conviene partire.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Tempo necessario: 25 minuti. Da fare con calma, in stanza tranquilla, con un caffè.</w:t>
      </w:r>
    </w:p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Area 1 — Operatività quotidiana (mass. 15 punti)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Quanto tempo perdi a settimana scrivendo mail standard (preventivi, conferme, solleciti)?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Punteggio: ___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Quante volte al mese ricevi richieste "informative" che richiedono di copiare/incollare le stesse informazioni?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Punteggio: ___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Quanto tempo dedichi a riassumere documenti (offerte ricevute, capitolati, normative, mail lunghe)?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Punteggio: ___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Hai documenti tecnici (manuali, schede prodotto, FAQ) che andrebbero aggiornati ma non lo fai mai per mancanza di tempo?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Punteggio: ___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Le riunioni interne producono "verbali" che spesso non vengono mai scritti?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Punteggio: ___</w:t>
      </w:r>
    </w:p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Area 2 — Comunicazione e marketing (mass. 12 punti)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Quanto regolarmente pubblichi contenuti sui tuoi canali social? (3 = mai, 0 = ho un calendario)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Punteggio: ___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Quanto tempo dedichi alla risposta a recensioni online?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Punteggio: ___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Quanto frequentemente invii newsletter alla tua mailing list? (3 = mai/quasi mai)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Punteggio: ___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Le risposte ai clienti vengono date con tempi diversi a seconda di chi le scrive?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Punteggio: ___</w:t>
      </w:r>
    </w:p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Area 3 — Dati &amp; reportistica (mass. 12 punti)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Quanto tempo serve in azienda per generare report mensili (vendite, produzione, magazzino)?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Punteggio: ___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Hai dati sparsi in più sistemi/Excel che andrebbero incrociati ma nessuno lo fa?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Punteggio: ___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Le analisi di vendita/produzione vengono fatte ma rimangono "chiuse nei file" senza commento?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Punteggio: ___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La categorizzazione delle spese richiede ore di lavoro manuale ogni mese?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Punteggio: ___</w:t>
      </w:r>
    </w:p>
    <w:p>
      <w:pPr>
        <w:spacing w:after="120" w:before="280"/>
      </w:pPr>
      <w:r>
        <w:rPr>
          <w:rFonts w:ascii="Calibri Light" w:cs="Calibri Light" w:eastAsia="Calibri Light" w:hAnsi="Calibri Light"/>
          <w:b/>
          <w:bCs/>
          <w:color w:val="00838F"/>
          <w:sz w:val="26"/>
          <w:szCs w:val="26"/>
        </w:rPr>
        <w:t xml:space="preserve">Area 4 — Persone &amp; conoscenza (mass. 12 punti)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Hai persone in azienda con conoscenza critica che non è documentata in nessun manuale?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Punteggio: ___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Quanto tempo richiede l'onboarding di un nuovo assunto in un ruolo amministrativo o tecnico standard?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Punteggio: ___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Le procedure interne esistono ma sono datate (&gt;2 anni)?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Punteggio: ___</w:t>
      </w:r>
    </w:p>
    <w:p>
      <w:pPr>
        <w:pStyle w:val="ListParagraph"/>
        <w:numPr>
          <w:ilvl w:val="0"/>
          <w:numId w:val="2"/>
        </w:numPr>
        <w:spacing w:after="30" w:before="30" w:line="280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I dipendenti chiedono spesso le stesse informazioni alle stesse 2-3 persone (collo di bottiglia umano)? </w:t>
      </w: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Punteggio: ___</w:t>
      </w:r>
    </w:p>
    <w:p>
      <w:pPr>
        <w:pBdr>
          <w:bottom w:val="single" w:color="00BCD4" w:sz="12" w:space="8"/>
        </w:pBdr>
        <w:spacing w:after="200" w:before="240"/>
      </w:pPr>
      <w:r>
        <w:rPr>
          <w:rFonts w:ascii="Calibri Light" w:cs="Calibri Light" w:eastAsia="Calibri Light" w:hAnsi="Calibri Light"/>
          <w:b/>
          <w:bCs/>
          <w:color w:val="0A1F2E"/>
          <w:sz w:val="36"/>
          <w:szCs w:val="36"/>
        </w:rPr>
        <w:t xml:space="preserve">Lettura dei risultati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color w:val="1F2937"/>
          <w:sz w:val="21"/>
          <w:szCs w:val="21"/>
        </w:rPr>
        <w:t xml:space="preserve">Somma i punteggi per area. Identifica le </w:t>
      </w: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3 aree con punteggio più alto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: sono quelle dove l'AI ti darà il massimo ritorno nei primi 90 giorni.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Se Area 1 (Operatività) è in cima: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parti dai capitoli 5 (marketing) e 6 (vendite) del libro.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Se Area 2 (Comunicazione) è in cima: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parti dal capitolo 5 (marketing) e dal capitolo 8 (customer care).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Se Area 3 (Dati) è in cima: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parti dal capitolo 7 (amministrazione).</w:t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b/>
          <w:bCs/>
          <w:color w:val="1F2937"/>
          <w:sz w:val="21"/>
          <w:szCs w:val="21"/>
        </w:rPr>
        <w:t xml:space="preserve">Se Area 4 (Persone) è in cima:</w:t>
      </w:r>
      <w:r>
        <w:rPr>
          <w:rFonts w:ascii="Georgia" w:cs="Georgia" w:eastAsia="Georgia" w:hAnsi="Georgia"/>
          <w:color w:val="1F2937"/>
          <w:sz w:val="21"/>
          <w:szCs w:val="21"/>
        </w:rPr>
        <w:t xml:space="preserve"> parti dal capitolo 9 (formazione interna).</w:t>
      </w:r>
    </w:p>
    <w:p>
      <w:pPr>
        <w:spacing w:after="120"/>
      </w:pPr>
      <w:r>
        <w:t xml:space="preserve"/>
      </w:r>
    </w:p>
    <w:p>
      <w:pPr>
        <w:spacing w:after="120" w:before="0" w:line="300"/>
        <w:jc w:val="left"/>
      </w:pPr>
      <w:r>
        <w:rPr>
          <w:rFonts w:ascii="Georgia" w:cs="Georgia" w:eastAsia="Georgia" w:hAnsi="Georgia"/>
          <w:i/>
          <w:iCs/>
          <w:color w:val="1F2937"/>
          <w:sz w:val="21"/>
          <w:szCs w:val="21"/>
        </w:rPr>
        <w:t xml:space="preserve">Versione 1.0 — © 2026 Aliosha Battaglini · AIOsha · info@aiosha.it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BCD4" w:sz="4" w:space="6"/>
      </w:pBdr>
      <w:jc w:val="center"/>
    </w:pPr>
    <w:r>
      <w:rPr>
        <w:rFonts w:ascii="Calibri" w:cs="Calibri" w:eastAsia="Calibri" w:hAnsi="Calibri"/>
        <w:color w:val="5A6470"/>
        <w:sz w:val="14"/>
        <w:szCs w:val="14"/>
      </w:rPr>
      <w:t xml:space="preserve">AIOsha · Pagina </w:t>
    </w:r>
    <w:r>
      <w:rPr>
        <w:rFonts w:ascii="Calibri" w:cs="Calibri" w:eastAsia="Calibri" w:hAnsi="Calibri"/>
        <w:b/>
        <w:bCs/>
        <w:color w:val="00838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BCD4" w:sz="4" w:space="6"/>
      </w:pBdr>
      <w:tabs>
        <w:tab w:val="right" w:pos="9026"/>
      </w:tabs>
    </w:pPr>
    <w:r>
      <w:rPr>
        <w:rFonts w:ascii="Calibri Light" w:cs="Calibri Light" w:eastAsia="Calibri Light" w:hAnsi="Calibri Light"/>
        <w:b/>
        <w:bCs/>
        <w:color w:val="00838F"/>
        <w:sz w:val="16"/>
        <w:szCs w:val="16"/>
      </w:rPr>
      <w:t xml:space="preserve">AIOsha · </w:t>
    </w:r>
    <w:r>
      <w:rPr>
        <w:rFonts w:ascii="Calibri" w:cs="Calibri" w:eastAsia="Calibri" w:hAnsi="Calibri"/>
        <w:color w:val="5A6470"/>
        <w:sz w:val="16"/>
        <w:szCs w:val="16"/>
      </w:rPr>
      <w:t xml:space="preserve">Risorsa 01</w:t>
    </w:r>
    <w:r>
      <w:rPr>
        <w:rFonts w:ascii="Calibri" w:cs="Calibri" w:eastAsia="Calibri" w:hAnsi="Calibri"/>
        <w:i/>
        <w:iCs/>
        <w:color w:val="5A6470"/>
        <w:sz w:val="16"/>
        <w:szCs w:val="16"/>
      </w:rPr>
      <w:t xml:space="preserve">	info@aiosha.it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540" w:hanging="280"/>
      </w:pPr>
      <w:rPr>
        <w:rFonts w:ascii="Calibri Light" w:cs="Calibri Light" w:eastAsia="Calibri Light" w:hAnsi="Calibri Light"/>
        <w:b/>
        <w:bCs/>
        <w:color w:val="00BCD4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  <w:rPr>
        <w:rFonts w:ascii="Calibri Light" w:cs="Calibri Light" w:eastAsia="Calibri Light" w:hAnsi="Calibri Light"/>
        <w:b/>
        <w:bCs/>
        <w:color w:val="00838F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F29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Calibri Light" w:cs="Calibri Light" w:eastAsia="Calibri Light" w:hAnsi="Calibri Light"/>
      <w:b/>
      <w:bCs/>
      <w:color w:val="0A1F2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 Light" w:cs="Calibri Light" w:eastAsia="Calibri Light" w:hAnsi="Calibri Light"/>
      <w:b/>
      <w:bCs/>
      <w:color w:val="00838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0f40ff94277ff2644d45871cab34fba027c7bf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Diagnosi dei colli di bottiglia della tua PMI</dc:title>
  <dc:creator>Aliosha Battaglini</dc:creator>
  <cp:lastModifiedBy>Un-named</cp:lastModifiedBy>
  <cp:revision>1</cp:revision>
  <dcterms:created xsi:type="dcterms:W3CDTF">2026-04-14T22:07:29.400Z</dcterms:created>
  <dcterms:modified xsi:type="dcterms:W3CDTF">2026-04-14T22:07:29.400Z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