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BCD4" w:sz="24"/>
              <w:right w:val="none"/>
            </w:tcBorders>
            <w:shd w:fill="000000" w:color="auto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logo" descr="logo" title="AIOs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6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200"/>
                <w:sz w:val="24"/>
                <w:szCs w:val="24"/>
              </w:rPr>
              <w:t xml:space="preserve">RISORSA 03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48"/>
                <w:szCs w:val="48"/>
              </w:rPr>
              <w:t xml:space="preserve">Policy AI Interna — versione breve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i/>
                <w:iCs/>
                <w:color w:val="B0E5EE"/>
                <w:sz w:val="22"/>
                <w:szCs w:val="22"/>
              </w:rPr>
              <w:t xml:space="preserve">4 pagine, 6 punti, modificabile in 30 minuti</w:t>
            </w:r>
          </w:p>
          <w:p>
            <w:pPr>
              <w:spacing w:after="0" w:before="480"/>
              <w:jc w:val="center"/>
            </w:pPr>
            <w:r>
              <w:rPr>
                <w:rFonts w:ascii="Calibri Light" w:cs="Calibri Light" w:eastAsia="Calibri Light" w:hAnsi="Calibri Light"/>
                <w:color w:val="B0E5EE"/>
                <w:sz w:val="18"/>
                <w:szCs w:val="18"/>
              </w:rPr>
              <w:t xml:space="preserve">Da "Intelligenza Artificiale in Pratica per PMI" — Aliosha Battaglini</w:t>
            </w:r>
          </w:p>
        </w:tc>
      </w:tr>
    </w:tbl>
    <w:p>
      <w:r>
        <w:br w:type="page"/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Policy AI Interna di [NOME AZIENDA]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Versione 1.0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— entrata in vigore: [DATA] — Responsabile: [NOME RESPONSABILE]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Questa policy regola l'uso degli strumenti di Intelligenza Artificiale generativa all'interno di [AZIENDA]. Si applica a tutti i dipendenti, collaboratori e consulenti esterni che utilizzano strumenti AI per attività aziendali.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1. Strumenti AI ufficialmente adottati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L'azienda ha adottato i seguenti strumenti AI per uso lavorativo. L'uso di altri strumenti AI per scopi aziendali deve essere preventivamente autorizzato dal Responsabile AI.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[ChatGPT Team / Plus]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— per [SCOPO]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[Claude Pro / Team]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— per [SCOPO]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[NotebookLM]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— per [SCOPO]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[Altri strumenti, se rilevanti]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2. Dati che NON possono essere inseriti negli strumenti AI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I seguenti dati non vanno mai inseriti in chat AI pubbliche o gratuite. Possono essere usati esclusivamente sui piani aziendali (Team/Enterprise) approvati: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Dati personali identificativi di clienti, fornitori, dipendenti (nomi, email, telefoni, indirizzi, codici fiscali)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Listini prezzi confidenziali e condizioni commerciali specifiche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Contratti firmati e accordi di riservatezza (NDA)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Dati sanitari o categorie particolari (art. 9 GDPR)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Password, credenziali, chiavi API, segreti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Segreti industriali, formule, processi protetti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3. Attivazione di nuovi abbonamenti AI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Solo il [Responsabile AI / IT / Titolare] può attivare nuovi abbonamenti AI a nome dell'azienda. È vietato l'uso di account personali per scopi aziendali.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4. Rilettura obbligatoria contenuti AI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Tutti i contenuti generati con AI che vengono inviati esternamente (clienti, fornitori, partner, autorità) o pubblicati pubblicamente devono essere riletti e approvati da una persona qualificata prima dell'invio/pubblicazione. La responsabilità del contenuto rimane sempre umana.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5. Gestione errori AI (allucinazioni)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L'AI può generare informazioni errate o inventate ("allucinazioni"). In caso di rilevamento di errore in un contenuto già usato: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Notificare immediatamente il Responsabile AI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Documentare il caso (cosa, chi, quando, conseguenze)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Adottare misure correttive (rettifica, comunicazione cliente, ecc.)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Aggiornare procedure interne se ricorrente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6. Trasparenza verso clienti e fornitori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L'uso dell'AI per supportare la nostra attività è dichiarato nell'informativa privacy aziendale. Per contenuti specifici (testimonianze, recensioni, voci di persone), va sempre dichiarato l'uso dell'AI quando rilevante.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Allegati</w:t>
      </w:r>
    </w:p>
    <w:p>
      <w:pPr>
        <w:spacing w:after="100" w:before="200"/>
      </w:pPr>
      <w:r>
        <w:rPr>
          <w:rFonts w:ascii="Calibri Light" w:cs="Calibri Light" w:eastAsia="Calibri Light" w:hAnsi="Calibri Light"/>
          <w:b/>
          <w:bCs/>
          <w:color w:val="0A1F2E"/>
          <w:sz w:val="22"/>
          <w:szCs w:val="22"/>
        </w:rPr>
        <w:t xml:space="preserve">Modulo accettazione policy (per dipendenti)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Il sottoscritto/a [NOME] dichiara di aver letto e compreso la Policy AI Interna di [AZIENDA] versione 1.0 e si impegna a rispettarla.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Data: __________ Firma: __________</w:t>
      </w:r>
    </w:p>
    <w:p>
      <w:pPr>
        <w:spacing w:after="120"/>
      </w:pPr>
      <w:r>
        <w:t xml:space="preserve"/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Documento da personalizzare per la propria realtà aziendale. Non costituisce parere legale: per applicazioni con obblighi specifici (settori regolati, decisioni AI ad alto rischio), consultare il proprio consulente.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© 2026 Aliosha Battaglini · AIOsha · info@aiosha.it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CD4" w:sz="4" w:space="6"/>
      </w:pBdr>
      <w:jc w:val="center"/>
    </w:pPr>
    <w:r>
      <w:rPr>
        <w:rFonts w:ascii="Calibri" w:cs="Calibri" w:eastAsia="Calibri" w:hAnsi="Calibri"/>
        <w:color w:val="5A6470"/>
        <w:sz w:val="14"/>
        <w:szCs w:val="14"/>
      </w:rPr>
      <w:t xml:space="preserve">AIOsha · Pagina </w:t>
    </w:r>
    <w:r>
      <w:rPr>
        <w:rFonts w:ascii="Calibri" w:cs="Calibri" w:eastAsia="Calibri" w:hAnsi="Calibri"/>
        <w:b/>
        <w:bCs/>
        <w:color w:val="00838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4" w:space="6"/>
      </w:pBdr>
      <w:tabs>
        <w:tab w:val="right" w:pos="9026"/>
      </w:tabs>
    </w:pPr>
    <w:r>
      <w:rPr>
        <w:rFonts w:ascii="Calibri Light" w:cs="Calibri Light" w:eastAsia="Calibri Light" w:hAnsi="Calibri Light"/>
        <w:b/>
        <w:bCs/>
        <w:color w:val="00838F"/>
        <w:sz w:val="16"/>
        <w:szCs w:val="16"/>
      </w:rPr>
      <w:t xml:space="preserve">AIOsha · </w:t>
    </w:r>
    <w:r>
      <w:rPr>
        <w:rFonts w:ascii="Calibri" w:cs="Calibri" w:eastAsia="Calibri" w:hAnsi="Calibri"/>
        <w:color w:val="5A6470"/>
        <w:sz w:val="16"/>
        <w:szCs w:val="16"/>
      </w:rPr>
      <w:t xml:space="preserve">Risorsa 03</w:t>
    </w:r>
    <w:r>
      <w:rPr>
        <w:rFonts w:ascii="Calibri" w:cs="Calibri" w:eastAsia="Calibri" w:hAnsi="Calibri"/>
        <w:i/>
        <w:iCs/>
        <w:color w:val="5A6470"/>
        <w:sz w:val="16"/>
        <w:szCs w:val="16"/>
      </w:rPr>
      <w:t xml:space="preserve">	info@aiosha.it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BCD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83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 Light" w:cs="Calibri Light" w:eastAsia="Calibri Light" w:hAnsi="Calibri Light"/>
      <w:b/>
      <w:bCs/>
      <w:color w:val="0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0083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f40ff94277ff2644d45871cab34fba027c7b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AI Interna — versione breve</dc:title>
  <dc:creator>Aliosha Battaglini</dc:creator>
  <cp:lastModifiedBy>Un-named</cp:lastModifiedBy>
  <cp:revision>1</cp:revision>
  <dcterms:created xsi:type="dcterms:W3CDTF">2026-04-14T22:07:29.878Z</dcterms:created>
  <dcterms:modified xsi:type="dcterms:W3CDTF">2026-04-14T22:07:29.878Z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