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none"/>
              <w:bottom w:val="single" w:color="00BCD4" w:sz="24"/>
              <w:right w:val="none"/>
            </w:tcBorders>
            <w:shd w:fill="000000" w:color="auto" w:val="clear"/>
            <w:tcMar>
              <w:top w:type="dxa" w:w="800"/>
              <w:left w:type="dxa" w:w="480"/>
              <w:bottom w:type="dxa" w:w="800"/>
              <w:right w:type="dxa" w:w="480"/>
            </w:tcMar>
          </w:tcPr>
          <w:p>
            <w:pPr>
              <w:spacing w:after="20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logo" descr="logo" title="AIOsh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60"/>
              <w:jc w:val="center"/>
            </w:pPr>
            <w:r>
              <w:rPr>
                <w:rFonts w:ascii="Calibri Light" w:cs="Calibri Light" w:eastAsia="Calibri Light" w:hAnsi="Calibri Light"/>
                <w:b/>
                <w:bCs/>
                <w:color w:val="00BCD4"/>
                <w:spacing w:val="200"/>
                <w:sz w:val="24"/>
                <w:szCs w:val="24"/>
              </w:rPr>
              <w:t xml:space="preserve">RISORSA 15</w:t>
            </w:r>
          </w:p>
          <w:p>
            <w:pPr>
              <w:spacing w:after="200"/>
              <w:jc w:val="center"/>
            </w:pPr>
            <w:r>
              <w:rPr>
                <w:rFonts w:ascii="Calibri Light" w:cs="Calibri Light" w:eastAsia="Calibri Light" w:hAnsi="Calibri Light"/>
                <w:b/>
                <w:bCs/>
                <w:color w:val="FFFFFF"/>
                <w:sz w:val="48"/>
                <w:szCs w:val="48"/>
              </w:rPr>
              <w:t xml:space="preserve">Policy AI Interna Estesa</w:t>
            </w:r>
          </w:p>
          <w:p>
            <w:pPr>
              <w:spacing w:after="200"/>
              <w:jc w:val="center"/>
            </w:pPr>
            <w:r>
              <w:rPr>
                <w:rFonts w:ascii="Calibri Light" w:cs="Calibri Light" w:eastAsia="Calibri Light" w:hAnsi="Calibri Light"/>
                <w:i/>
                <w:iCs/>
                <w:color w:val="B0E5EE"/>
                <w:sz w:val="22"/>
                <w:szCs w:val="22"/>
              </w:rPr>
              <w:t xml:space="preserve">Modello editabile per PMI italiane 5-50 dipendenti</w:t>
            </w:r>
          </w:p>
          <w:p>
            <w:pPr>
              <w:spacing w:after="0" w:before="480"/>
              <w:jc w:val="center"/>
            </w:pPr>
            <w:r>
              <w:rPr>
                <w:rFonts w:ascii="Calibri Light" w:cs="Calibri Light" w:eastAsia="Calibri Light" w:hAnsi="Calibri Light"/>
                <w:color w:val="B0E5EE"/>
                <w:sz w:val="18"/>
                <w:szCs w:val="18"/>
              </w:rPr>
              <w:t xml:space="preserve">Da "Intelligenza Artificiale in Pratica per PMI" — Aliosha Battaglini</w:t>
            </w:r>
          </w:p>
        </w:tc>
      </w:tr>
    </w:tbl>
    <w:p>
      <w:r>
        <w:br w:type="page"/>
      </w:r>
    </w:p>
    <w:p>
      <w:pPr>
        <w:pBdr>
          <w:bottom w:val="single" w:color="00BCD4" w:sz="12" w:space="8"/>
        </w:pBdr>
        <w:spacing w:after="200" w:before="240"/>
      </w:pPr>
      <w:r>
        <w:rPr>
          <w:rFonts w:ascii="Calibri Light" w:cs="Calibri Light" w:eastAsia="Calibri Light" w:hAnsi="Calibri Light"/>
          <w:b/>
          <w:bCs/>
          <w:color w:val="0A1F2E"/>
          <w:sz w:val="36"/>
          <w:szCs w:val="36"/>
        </w:rPr>
        <w:t xml:space="preserve">Policy aziendale per l'uso dell'Intelligenza Artificiale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[NOME AZIENDA]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— Versione 1.0 — In vigore dal [DATA]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Documento approvato da: [LEGALE RAPPRESENTANTE] · Responsabile attuazione: [NOME RUOLO]</w:t>
      </w:r>
    </w:p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Premessa e ambito di applicazione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La presente Policy regola l'uso degli strumenti di Intelligenza Artificiale generativa (di seguito "AI") all'interno di [NOME AZIENDA]. Si applica a tutti i dipendenti, collaboratori, consulenti esterni che utilizzano AI per attività aziendali, indipendentemente dal contratto di collaborazione.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L'AI viene introdotta in azienda per supportare e amplificare il lavoro delle persone, non per sostituirle. La responsabilità di ogni contenuto, decisione, azione resta sempre umana.</w:t>
      </w:r>
    </w:p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Sezione 1 — Strumenti AI ufficialmente adottati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L'azienda ha adottato i seguenti strumenti AI per uso lavorativo. L'uso di altri strumenti per scopi aziendali deve essere preventivamente autorizzato dal Responsabile AI.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ChatGPT Team / Plus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— per attività di scrittura, analisi documenti, supporto operativo generale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Claude Pro / Team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— per attività di scrittura raffinata, analisi documenti lunghi, ragionamento complesso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NotebookLM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(versione gratuita) — per interrogare documenti aziendali interni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[Eventuali altri strumenti specifici della tua azienda]</w:t>
      </w:r>
    </w:p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Sezione 2 — Dati che NON possono essere inseriti negli strumenti AI pubblici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I seguenti dati possono essere usati esclusivamente sui piani aziendali approvati (Team/Enterprise con contratto di trattamento dati conforme GDPR). Non vanno mai inseriti in chat AI pubbliche, gratuite o di terze parti non autorizzate.</w:t>
      </w:r>
    </w:p>
    <w:p>
      <w:pPr>
        <w:spacing w:after="100" w:before="200"/>
      </w:pPr>
      <w:r>
        <w:rPr>
          <w:rFonts w:ascii="Calibri Light" w:cs="Calibri Light" w:eastAsia="Calibri Light" w:hAnsi="Calibri Light"/>
          <w:b/>
          <w:bCs/>
          <w:color w:val="0A1F2E"/>
          <w:sz w:val="22"/>
          <w:szCs w:val="22"/>
        </w:rPr>
        <w:t xml:space="preserve">Categorie di dati protetti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Dati personali identificativi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di clienti, fornitori, dipendenti (nomi, email, telefoni, indirizzi, codici fiscali)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Listini prezzi confidenziali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e condizioni commerciali specifiche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Contratti firmati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e accordi di riservatezza (NDA)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Categorie particolari di dati personali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(art. 9 GDPR): dati sanitari, biometrici, religiosi, opinioni politiche, ecc.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Password, credenziali, chiavi API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Segreti industriali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, formule, processi protetti, brevetti in fase di registrazione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Dati finanziari sensibili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(saldi bancari, IBAN, dati di pagamento)</w:t>
      </w:r>
    </w:p>
    <w:p>
      <w:pPr>
        <w:spacing w:after="100" w:before="200"/>
      </w:pPr>
      <w:r>
        <w:rPr>
          <w:rFonts w:ascii="Calibri Light" w:cs="Calibri Light" w:eastAsia="Calibri Light" w:hAnsi="Calibri Light"/>
          <w:b/>
          <w:bCs/>
          <w:color w:val="0A1F2E"/>
          <w:sz w:val="22"/>
          <w:szCs w:val="22"/>
        </w:rPr>
        <w:t xml:space="preserve">Casi consentiti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I dati elencati sopra possono essere usati su account aziendali Team/Enterprise approvati, dove l'azienda ha un contratto di trattamento dati conforme. In ogni caso, </w:t>
      </w: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anonimizzare o pseudonimizzare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i dati sensibili quando non strettamente necessari per il task.</w:t>
      </w:r>
    </w:p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Sezione 3 — Attivazione di nuovi abbonamenti AI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Solo il Responsabile AI o l'Amministratore Delegato possono attivare nuovi abbonamenti AI a nome dell'azienda. È vietato l'uso di account personali per scopi aziendali, anche su base temporanea. La motivazione: gli account personali non hanno protezioni dati aziendali e i loro contenuti possono essere usati per addestramento dei modelli.</w:t>
      </w:r>
    </w:p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Sezione 4 — Rilettura e responsabilità sui contenuti AI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Tutti i contenuti generati con AI che vengono inviati esternamente (clienti, fornitori, partner, autorità) o pubblicati pubblicamente devono essere riletti e approvati da una persona qualificata prima dell'invio o pubblicazione.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La responsabilità dei contenuti rimane sempre umana.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L'AI è uno strumento di supporto, non un autore autonomo. Errori nei contenuti generati con AI sono imputabili alla persona che li ha approvati e inviati.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Per i contenuti interni (note, riassunti, draft di lavoro che non escono dall'azienda), è ammesso un livello di controllo più leggero, ma la persona resta responsabile della correttezza dei contenuti che usa per le proprie decisioni.</w:t>
      </w:r>
    </w:p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Sezione 5 — Gestione errori AI (allucinazioni)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L'AI può generare informazioni errate o inventate ("allucinazioni"), in particolare su numeri, citazioni, fonti, dati specifici. Per questo: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Tutti i numeri, dati statistici, citazioni, riferimenti normativi prodotti dall'AI vanno verificati con fonti indipendenti prima di essere usati esternamente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In caso di rilevamento di errore in un contenuto già usato esternamente, notificare immediatamente il Responsabile AI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Documentare il caso (cosa è successo, chi era coinvolto, quando, conseguenze)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Adottare misure correttive (rettifica al destinatario, comunicazione cliente, ecc.)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Aggiornare le procedure interne se l'errore è ricorrente o potenzialmente grave</w:t>
      </w:r>
    </w:p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Sezione 6 — Trasparenza verso clienti, fornitori, autorità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L'uso dell'AI per supportare la nostra attività è dichiarato nella nostra informativa privacy aziendale ([LINK O RIFERIMENTO]). Per contenuti specifici dove la trasparenza è particolarmente rilevante (testimonianze, recensioni, contenuti che imitano persone reali), va sempre dichiarato esplicitamente l'uso dell'AI.</w:t>
      </w:r>
    </w:p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Sezione 7 — Sicurezza tecnica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Tutti gli account AI aziendali devono avere: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Autenticazione a due fattori (MFA)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attiva e obbligatoria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Accesso individuale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(no account condivisi tra colleghi)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Quando possibile, </w:t>
      </w: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Single Sign-On (SSO)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integrato con i sistemi aziendali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Password gestite tramite password manager aziendale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([STRUMENTO]), mai condivise via mail o chat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Disattivazione immediata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dell'account quando una persona esce dall'azienda</w:t>
      </w:r>
    </w:p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Sezione 8 — Formazione obbligatoria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Ogni dipendente che riceve accesso a uno strumento AI aziendale deve completare prima un breve modulo formativo aziendale (durata: 2-4 ore) che copre: principi base AI, pratica sui prompt, regole di sicurezza, simulazione casi pratici. La formazione viene aggiornata almeno annualmente.</w:t>
      </w:r>
    </w:p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Sezione 9 — Monitoraggio e audit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Il Responsabile AI effettua almeno trimestralmente: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Verifica degli account attivi e dei costi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Verifica accessi (chi entra, chi non dovrebbe più entrare)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Spot check su contenuti generati con AI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Aggiornamento policy se le normative o gli strumenti adottati cambiano</w:t>
      </w:r>
    </w:p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Sezione 10 — Sanzioni in caso di violazione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La violazione delle regole della presente Policy può comportare azioni disciplinari secondo quanto previsto dal CCNL applicato e dal Codice Disciplinare aziendale, fino al licenziamento per giusta causa nei casi più gravi (es. inserimento intenzionale di dati riservati in account pubblici causando danno aziendale).</w:t>
      </w:r>
    </w:p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Sezione 11 — Conformità normativa di riferimento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Regolamento UE 2016/679 (GDPR)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Regolamento UE 2024/1689 (AI Act)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Legge italiana 132/2025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sull'AI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Statuto dei Lavoratori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(legge 300/1970) per gli aspetti che riguardano monitoraggio dipendenti</w:t>
      </w:r>
    </w:p>
    <w:p>
      <w:pPr>
        <w:pBdr>
          <w:bottom w:val="single" w:color="00BCD4" w:sz="12" w:space="8"/>
        </w:pBdr>
        <w:spacing w:after="200" w:before="240"/>
      </w:pPr>
      <w:r>
        <w:rPr>
          <w:rFonts w:ascii="Calibri Light" w:cs="Calibri Light" w:eastAsia="Calibri Light" w:hAnsi="Calibri Light"/>
          <w:b/>
          <w:bCs/>
          <w:color w:val="0A1F2E"/>
          <w:sz w:val="36"/>
          <w:szCs w:val="36"/>
        </w:rPr>
        <w:t xml:space="preserve">Allegato A — Modulo accettazione policy (per dipendenti)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Il sottoscritto/a </w:t>
      </w: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__________________________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dichiara di aver letto e compreso la Policy AI Interna di [NOME AZIENDA] versione 1.0 in vigore dal [DATA] e si impegna a rispettarla pienamente.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Data: __________ Luogo: __________ Firma: __________</w:t>
      </w:r>
    </w:p>
    <w:p>
      <w:pPr>
        <w:pBdr>
          <w:bottom w:val="single" w:color="00BCD4" w:sz="12" w:space="8"/>
        </w:pBdr>
        <w:spacing w:after="200" w:before="240"/>
      </w:pPr>
      <w:r>
        <w:rPr>
          <w:rFonts w:ascii="Calibri Light" w:cs="Calibri Light" w:eastAsia="Calibri Light" w:hAnsi="Calibri Light"/>
          <w:b/>
          <w:bCs/>
          <w:color w:val="0A1F2E"/>
          <w:sz w:val="36"/>
          <w:szCs w:val="36"/>
        </w:rPr>
        <w:t xml:space="preserve">Allegato B — Schema responsabilità (RACI semplificato)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Responsabile AI: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[NOME] — definisce strumenti, gestisce accessi, fa audit, aggiorna policy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AI Owner per area: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[LISTA per area] — applicano AI nei loro processi, mantengono prompt e GPT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Tutti i dipendenti che usano AI: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rispettano la policy, segnalano errori, completano formazione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Amministratore Delegato: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approva acquisti AI, valida policy, interviene in caso di violazione grave</w:t>
      </w:r>
    </w:p>
    <w:p>
      <w:pPr>
        <w:spacing w:after="120"/>
      </w:pPr>
      <w:r>
        <w:t xml:space="preserve"/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Documento da personalizzare per la propria realtà aziendale. Non costituisce parere legale: per applicazioni con obblighi specifici (settori regolati, decisioni AI ad alto rischio), consultare il proprio consulente legale.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© 2026 Aliosha Battaglini · AIOsha · info@aiosha.it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BCD4" w:sz="4" w:space="6"/>
      </w:pBdr>
      <w:jc w:val="center"/>
    </w:pPr>
    <w:r>
      <w:rPr>
        <w:rFonts w:ascii="Calibri" w:cs="Calibri" w:eastAsia="Calibri" w:hAnsi="Calibri"/>
        <w:color w:val="5A6470"/>
        <w:sz w:val="14"/>
        <w:szCs w:val="14"/>
      </w:rPr>
      <w:t xml:space="preserve">AIOsha · Pagina </w:t>
    </w:r>
    <w:r>
      <w:rPr>
        <w:rFonts w:ascii="Calibri" w:cs="Calibri" w:eastAsia="Calibri" w:hAnsi="Calibri"/>
        <w:b/>
        <w:bCs/>
        <w:color w:val="00838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BCD4" w:sz="4" w:space="6"/>
      </w:pBdr>
      <w:tabs>
        <w:tab w:val="right" w:pos="9026"/>
      </w:tabs>
    </w:pPr>
    <w:r>
      <w:rPr>
        <w:rFonts w:ascii="Calibri Light" w:cs="Calibri Light" w:eastAsia="Calibri Light" w:hAnsi="Calibri Light"/>
        <w:b/>
        <w:bCs/>
        <w:color w:val="00838F"/>
        <w:sz w:val="16"/>
        <w:szCs w:val="16"/>
      </w:rPr>
      <w:t xml:space="preserve">AIOsha · </w:t>
    </w:r>
    <w:r>
      <w:rPr>
        <w:rFonts w:ascii="Calibri" w:cs="Calibri" w:eastAsia="Calibri" w:hAnsi="Calibri"/>
        <w:color w:val="5A6470"/>
        <w:sz w:val="16"/>
        <w:szCs w:val="16"/>
      </w:rPr>
      <w:t xml:space="preserve">Risorsa 15</w:t>
    </w:r>
    <w:r>
      <w:rPr>
        <w:rFonts w:ascii="Calibri" w:cs="Calibri" w:eastAsia="Calibri" w:hAnsi="Calibri"/>
        <w:i/>
        <w:iCs/>
        <w:color w:val="5A6470"/>
        <w:sz w:val="16"/>
        <w:szCs w:val="16"/>
      </w:rPr>
      <w:t xml:space="preserve">	info@aiosha.it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540" w:hanging="280"/>
      </w:pPr>
      <w:rPr>
        <w:rFonts w:ascii="Calibri Light" w:cs="Calibri Light" w:eastAsia="Calibri Light" w:hAnsi="Calibri Light"/>
        <w:b/>
        <w:bCs/>
        <w:color w:val="00BCD4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  <w:rPr>
        <w:rFonts w:ascii="Calibri Light" w:cs="Calibri Light" w:eastAsia="Calibri Light" w:hAnsi="Calibri Light"/>
        <w:b/>
        <w:bCs/>
        <w:color w:val="00838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F293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Calibri Light" w:cs="Calibri Light" w:eastAsia="Calibri Light" w:hAnsi="Calibri Light"/>
      <w:b/>
      <w:bCs/>
      <w:color w:val="0A1F2E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 Light" w:cs="Calibri Light" w:eastAsia="Calibri Light" w:hAnsi="Calibri Light"/>
      <w:b/>
      <w:bCs/>
      <w:color w:val="00838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0f40ff94277ff2644d45871cab34fba027c7bf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Policy AI Interna Estesa</dc:title>
  <dc:creator>Aliosha Battaglini</dc:creator>
  <cp:lastModifiedBy>Un-named</cp:lastModifiedBy>
  <cp:revision>1</cp:revision>
  <dcterms:created xsi:type="dcterms:W3CDTF">2026-04-14T22:07:31.381Z</dcterms:created>
  <dcterms:modified xsi:type="dcterms:W3CDTF">2026-04-14T22:07:31.381Z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