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>{name}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Дата народження: 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birthday}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>{d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ate}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device}</w:t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</w:rPr>
        <w:t>Обстеження органів </w:t>
      </w:r>
      <w:r>
        <w:rPr>
          <w:rFonts w:cs="Times New Roman" w:ascii="Times New Roman" w:hAnsi="Times New Roman"/>
          <w:b/>
          <w:sz w:val="28"/>
          <w:lang w:val="uk-UA"/>
        </w:rPr>
        <w:t>сечовивідної системи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5"/>
        <w:gridCol w:w="850"/>
        <w:gridCol w:w="4785"/>
      </w:tblGrid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Ліва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{0_0}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{0_1_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{0_1_1}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{0_3},{0_4}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{0_5}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{0_6}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{0_7}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{0_8}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Права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{1_0}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{1_1_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>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{1_1_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 {1_3},{1_4} 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{1_5}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{1_6}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{1_7}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>: {1_8}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 xml:space="preserve">Сечовий міхур: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_0}</w:t>
            </w:r>
          </w:p>
        </w:tc>
      </w:tr>
      <w:tr>
        <w:trPr/>
        <w:tc>
          <w:tcPr>
            <w:tcW w:w="478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_1}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vertAlign w:val="subscript"/>
                <w:lang w:val="uk-UA"/>
              </w:rPr>
              <w:t>зал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_2}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_3}, 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>_4}</w:t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Вміст: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_5}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_6}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Сечоводи у нижній третині: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{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>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_7}</w:t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>: {</w:t>
      </w:r>
      <w:r>
        <w:rPr>
          <w:rFonts w:cs="Times New Roman" w:ascii="Times New Roman" w:hAnsi="Times New Roman"/>
          <w:i/>
          <w:sz w:val="24"/>
          <w:szCs w:val="32"/>
          <w:u w:val="single"/>
          <w:lang w:val="en-US"/>
        </w:rPr>
        <w:t>conclusion}</w:t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>{doctor}</w:t>
        <w:tab/>
        <w:tab/>
        <w:tab/>
        <w:tab/>
      </w:r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LibreOffice/6.4.4.2$Linux_X86_64 LibreOffice_project/3d775be2011f3886db32dfd395a6a6d1ca2630ff</Application>
  <Pages>1</Pages>
  <Words>113</Words>
  <Characters>780</Characters>
  <CharactersWithSpaces>865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2020-06-26T08:38:00Z</dcterms:created>
  <dc:creator>Ryuzetsu</dc:creator>
  <dc:description/>
  <dc:language>en-US</dc:language>
  <cp:lastModifiedBy/>
  <dcterms:modified xsi:type="dcterms:W3CDTF">2020-08-13T16:06:27Z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