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Convention d'école pilote Fama School</w:t>
      </w:r>
    </w:p>
    <w:p>
      <w:pPr>
        <w:pBdr>
          <w:left w:val="single" w:color="F1C232" w:sz="18" w:space="8"/>
        </w:pBdr>
        <w:shd w:fill="FFF8DB" w:color="auto" w:val="clear"/>
        <w:spacing w:after="60"/>
      </w:pPr>
      <w:r>
        <w:rPr>
          <w:b/>
          <w:bCs/>
          <w:color w:val="1E2433"/>
          <w:sz w:val="20"/>
          <w:szCs w:val="20"/>
        </w:rPr>
        <w:t xml:space="preserve">Modèle à compléter et à faire relire par un juriste avant signature.</w:t>
      </w:r>
    </w:p>
    <w:p>
      <w:pPr>
        <w:pBdr>
          <w:left w:val="single" w:color="F1C232" w:sz="18" w:space="8"/>
        </w:pBdr>
        <w:shd w:fill="FFF8DB" w:color="auto" w:val="clear"/>
        <w:spacing w:after="60"/>
      </w:pPr>
      <w:r>
        <w:rPr>
          <w:color w:val="1E2433"/>
          <w:sz w:val="20"/>
          <w:szCs w:val="20"/>
        </w:rPr>
        <w:t xml:space="preserve">Les passages entre crochets [ ] sont à remplir.</w:t>
      </w:r>
    </w:p>
    <w:p>
      <w:pPr>
        <w:pStyle w:val="Heading1"/>
      </w:pPr>
      <w:r>
        <w:t xml:space="preserve">Entre les soussignés</w:t>
      </w:r>
    </w:p>
    <w:p>
      <w:pPr>
        <w:spacing w:after="120"/>
      </w:pPr>
      <w:r>
        <w:rPr>
          <w:b/>
          <w:bCs/>
        </w:rPr>
        <w:t xml:space="preserve">Fama School</w:t>
      </w:r>
      <w:r>
        <w:t xml:space="preserve">, [forme juridique et numéro NINEA / RCCM], dont le siège est situé [adresse], représentée par [nom et fonction], ci-après « Fama School » ;</w:t>
      </w:r>
    </w:p>
    <w:p>
      <w:pPr>
        <w:spacing w:after="120"/>
      </w:pPr>
      <w:r>
        <w:rPr>
          <w:b/>
          <w:bCs/>
        </w:rPr>
        <w:t xml:space="preserve">et</w:t>
      </w:r>
    </w:p>
    <w:p>
      <w:pPr>
        <w:spacing w:after="120"/>
      </w:pPr>
      <w:r>
        <w:rPr>
          <w:b/>
          <w:bCs/>
        </w:rPr>
        <w:t xml:space="preserve">[Nom de l'école]</w:t>
      </w:r>
      <w:r>
        <w:t xml:space="preserve">, [forme juridique et numéro d'autorisation d'ouverture], dont le siège est situé [adresse], représentée par [nom et fonction], ci-après « l'École ».</w:t>
      </w:r>
    </w:p>
    <w:p>
      <w:pPr>
        <w:pStyle w:val="Heading1"/>
      </w:pPr>
      <w:r>
        <w:t xml:space="preserve">Article 1 — Objet</w:t>
      </w:r>
    </w:p>
    <w:p>
      <w:pPr>
        <w:spacing w:after="120"/>
      </w:pPr>
      <w:r>
        <w:t xml:space="preserve">La présente convention organise l'utilisation, par l'École, de l'application de gestion scolaire Fama School pendant une période pilote, et les engagements réciproques des parties pendant cette période.</w:t>
      </w:r>
    </w:p>
    <w:p>
      <w:pPr>
        <w:pStyle w:val="Heading1"/>
      </w:pPr>
      <w:r>
        <w:t xml:space="preserve">Article 2 — Durée</w:t>
      </w:r>
    </w:p>
    <w:p>
      <w:pPr>
        <w:spacing w:after="120"/>
      </w:pPr>
      <w:r>
        <w:t xml:space="preserve">La période pilote commence le [date, par exemple 1er avril 2027] et se termine le [date, par exemple 30 juin 2027]. Elle prend fin à cette date sans autre formalité. Elle n'entraîne aucune reconduction automatique.</w:t>
      </w:r>
    </w:p>
    <w:p>
      <w:pPr>
        <w:pStyle w:val="Heading1"/>
      </w:pPr>
      <w:r>
        <w:t xml:space="preserve">Article 3 — Services fournis</w:t>
      </w:r>
    </w:p>
    <w:p>
      <w:pPr>
        <w:spacing w:after="120"/>
      </w:pPr>
      <w:r>
        <w:t xml:space="preserve">Pendant la période pilote, Fama School met à la disposition de l'École :</w:t>
      </w:r>
    </w:p>
    <w:p>
      <w:pPr>
        <w:pStyle w:val="ListParagraph"/>
        <w:numPr>
          <w:ilvl w:val="0"/>
          <w:numId w:val="2"/>
        </w:numPr>
        <w:spacing w:after="60"/>
      </w:pPr>
      <w:r>
        <w:t xml:space="preserve">l'application Fama School pour la direction, les enseignants et les parents, dans sa version en vigueur ;</w:t>
      </w:r>
    </w:p>
    <w:p>
      <w:pPr>
        <w:pStyle w:val="ListParagraph"/>
        <w:numPr>
          <w:ilvl w:val="0"/>
          <w:numId w:val="2"/>
        </w:numPr>
        <w:spacing w:after="60"/>
      </w:pPr>
      <w:r>
        <w:t xml:space="preserve">la mise en place : import des élèves, paramétrage de l'école, création des comptes de l'équipe ;</w:t>
      </w:r>
    </w:p>
    <w:p>
      <w:pPr>
        <w:pStyle w:val="ListParagraph"/>
        <w:numPr>
          <w:ilvl w:val="0"/>
          <w:numId w:val="2"/>
        </w:numPr>
        <w:spacing w:after="60"/>
      </w:pPr>
      <w:r>
        <w:t xml:space="preserve">une formation sur place d'une demi-journée au démarrage ;</w:t>
      </w:r>
    </w:p>
    <w:p>
      <w:pPr>
        <w:pStyle w:val="ListParagraph"/>
        <w:numPr>
          <w:ilvl w:val="0"/>
          <w:numId w:val="2"/>
        </w:numPr>
        <w:spacing w:after="60"/>
      </w:pPr>
      <w:r>
        <w:t xml:space="preserve">un accompagnement par téléphone et WhatsApp, les jours ouvrables, de [heure] à [heure].</w:t>
      </w:r>
    </w:p>
    <w:p>
      <w:pPr>
        <w:pStyle w:val="Heading1"/>
      </w:pPr>
      <w:r>
        <w:t xml:space="preserve">Article 4 — Conditions financières</w:t>
      </w:r>
    </w:p>
    <w:p>
      <w:pPr>
        <w:spacing w:after="120"/>
      </w:pPr>
      <w:r>
        <w:t xml:space="preserve">La période pilote est </w:t>
      </w:r>
      <w:r>
        <w:rPr>
          <w:b/>
          <w:bCs/>
        </w:rPr>
        <w:t xml:space="preserve">gratuite</w:t>
      </w:r>
      <w:r>
        <w:t xml:space="preserve"> pour l'École : ni abonnement ni frais de mise en place.</w:t>
      </w:r>
    </w:p>
    <w:p>
      <w:pPr>
        <w:spacing w:after="120"/>
      </w:pPr>
      <w:r>
        <w:t xml:space="preserve">Restent à la charge de l'École, si elle les demande : [les cartes élèves QR imprimées / les packs de SMS et WhatsApp au-delà de [quantité] messages / autre — à préciser ou à supprimer].</w:t>
      </w:r>
    </w:p>
    <w:p>
      <w:pPr>
        <w:spacing w:after="120"/>
      </w:pPr>
      <w:r>
        <w:t xml:space="preserve">L'application reste gratuite pour les parents.</w:t>
      </w:r>
    </w:p>
    <w:p>
      <w:pPr>
        <w:pStyle w:val="Heading1"/>
      </w:pPr>
      <w:r>
        <w:t xml:space="preserve">Article 5 — Engagements de l'École</w:t>
      </w:r>
    </w:p>
    <w:p>
      <w:pPr>
        <w:spacing w:after="120"/>
      </w:pPr>
      <w:r>
        <w:t xml:space="preserve">L'École s'engage à :</w:t>
      </w:r>
    </w:p>
    <w:p>
      <w:pPr>
        <w:pStyle w:val="ListParagraph"/>
        <w:numPr>
          <w:ilvl w:val="0"/>
          <w:numId w:val="3"/>
        </w:numPr>
        <w:spacing w:after="60"/>
      </w:pPr>
      <w:r>
        <w:t xml:space="preserve">désigner un référent, [nom et téléphone], interlocuteur de Fama School pendant le pilote ;</w:t>
      </w:r>
    </w:p>
    <w:p>
      <w:pPr>
        <w:pStyle w:val="ListParagraph"/>
        <w:numPr>
          <w:ilvl w:val="0"/>
          <w:numId w:val="3"/>
        </w:numPr>
        <w:spacing w:after="60"/>
      </w:pPr>
      <w:r>
        <w:t xml:space="preserve">transmettre des informations exactes (élèves, parents, personnel, classes, frais) ;</w:t>
      </w:r>
    </w:p>
    <w:p>
      <w:pPr>
        <w:pStyle w:val="ListParagraph"/>
        <w:numPr>
          <w:ilvl w:val="0"/>
          <w:numId w:val="3"/>
        </w:numPr>
        <w:spacing w:after="60"/>
      </w:pPr>
      <w:r>
        <w:t xml:space="preserve">utiliser l'application dans le cadre de son activité scolaire ;</w:t>
      </w:r>
    </w:p>
    <w:p>
      <w:pPr>
        <w:pStyle w:val="ListParagraph"/>
        <w:numPr>
          <w:ilvl w:val="0"/>
          <w:numId w:val="3"/>
        </w:numPr>
        <w:spacing w:after="60"/>
      </w:pPr>
      <w:r>
        <w:t xml:space="preserve">informer les parents et le personnel de l'utilisation de Fama School ;</w:t>
      </w:r>
    </w:p>
    <w:p>
      <w:pPr>
        <w:pStyle w:val="ListParagraph"/>
        <w:numPr>
          <w:ilvl w:val="0"/>
          <w:numId w:val="3"/>
        </w:numPr>
        <w:spacing w:after="60"/>
      </w:pPr>
      <w:r>
        <w:t xml:space="preserve">faire part de ses remarques lors d'un échange mensuel et d'un bilan en fin de période.</w:t>
      </w:r>
    </w:p>
    <w:p>
      <w:pPr>
        <w:pStyle w:val="Heading1"/>
      </w:pPr>
      <w:r>
        <w:t xml:space="preserve">Article 6 — Engagements de Fama School</w:t>
      </w:r>
    </w:p>
    <w:p>
      <w:pPr>
        <w:spacing w:after="120"/>
      </w:pPr>
      <w:r>
        <w:t xml:space="preserve">Fama School s'engage à :</w:t>
      </w:r>
    </w:p>
    <w:p>
      <w:pPr>
        <w:pStyle w:val="ListParagraph"/>
        <w:numPr>
          <w:ilvl w:val="0"/>
          <w:numId w:val="3"/>
        </w:numPr>
        <w:spacing w:after="60"/>
      </w:pPr>
      <w:r>
        <w:t xml:space="preserve">fournir les services décrits à l'article 3 avec soin ;</w:t>
      </w:r>
    </w:p>
    <w:p>
      <w:pPr>
        <w:pStyle w:val="ListParagraph"/>
        <w:numPr>
          <w:ilvl w:val="0"/>
          <w:numId w:val="3"/>
        </w:numPr>
        <w:spacing w:after="60"/>
      </w:pPr>
      <w:r>
        <w:t xml:space="preserve">corriger dans les meilleurs délais les anomalies signalées ;</w:t>
      </w:r>
    </w:p>
    <w:p>
      <w:pPr>
        <w:pStyle w:val="ListParagraph"/>
        <w:numPr>
          <w:ilvl w:val="0"/>
          <w:numId w:val="3"/>
        </w:numPr>
        <w:spacing w:after="60"/>
      </w:pPr>
      <w:r>
        <w:t xml:space="preserve">informer l'École de toute interruption prévue du service ;</w:t>
      </w:r>
    </w:p>
    <w:p>
      <w:pPr>
        <w:pStyle w:val="ListParagraph"/>
        <w:numPr>
          <w:ilvl w:val="0"/>
          <w:numId w:val="3"/>
        </w:numPr>
        <w:spacing w:after="60"/>
      </w:pPr>
      <w:r>
        <w:t xml:space="preserve">ne pas utiliser les données de l'École à d'autres fins que le fonctionnement de l'application.</w:t>
      </w:r>
    </w:p>
    <w:p>
      <w:pPr>
        <w:pStyle w:val="Heading1"/>
      </w:pPr>
      <w:r>
        <w:t xml:space="preserve">Article 7 — Données personnelles</w:t>
      </w:r>
    </w:p>
    <w:p>
      <w:pPr>
        <w:spacing w:after="120"/>
      </w:pPr>
      <w:r>
        <w:t xml:space="preserve">L'École est </w:t>
      </w:r>
      <w:r>
        <w:rPr>
          <w:b/>
          <w:bCs/>
        </w:rPr>
        <w:t xml:space="preserve">responsable du traitement</w:t>
      </w:r>
      <w:r>
        <w:t xml:space="preserve"> des données de ses élèves, de leurs parents et de son personnel. Fama School agit comme </w:t>
      </w:r>
      <w:r>
        <w:rPr>
          <w:b/>
          <w:bCs/>
        </w:rPr>
        <w:t xml:space="preserve">sous-traitant</w:t>
      </w:r>
      <w:r>
        <w:t xml:space="preserve"> : elle traite ces données uniquement pour le compte de l'École et selon ses instructions, conformément à la loi n° 2008-12 du 25 janvier 2008 sur la protection des données à caractère personnel.</w:t>
      </w:r>
    </w:p>
    <w:p>
      <w:pPr>
        <w:spacing w:after="120"/>
      </w:pPr>
      <w:r>
        <w:t xml:space="preserve">Fama School s'engage notamment à :</w:t>
      </w:r>
    </w:p>
    <w:p>
      <w:pPr>
        <w:pStyle w:val="ListParagraph"/>
        <w:numPr>
          <w:ilvl w:val="0"/>
          <w:numId w:val="2"/>
        </w:numPr>
        <w:spacing w:after="60"/>
      </w:pPr>
      <w:r>
        <w:t xml:space="preserve">garantir la confidentialité des données et en limiter l'accès selon le rôle de chaque utilisateur ;</w:t>
      </w:r>
    </w:p>
    <w:p>
      <w:pPr>
        <w:pStyle w:val="ListParagraph"/>
        <w:numPr>
          <w:ilvl w:val="0"/>
          <w:numId w:val="2"/>
        </w:numPr>
        <w:spacing w:after="60"/>
      </w:pPr>
      <w:r>
        <w:t xml:space="preserve">mettre en œuvre les mesures de sécurité décrites dans sa politique de confidentialité ;</w:t>
      </w:r>
    </w:p>
    <w:p>
      <w:pPr>
        <w:pStyle w:val="ListParagraph"/>
        <w:numPr>
          <w:ilvl w:val="0"/>
          <w:numId w:val="2"/>
        </w:numPr>
        <w:spacing w:after="60"/>
      </w:pPr>
      <w:r>
        <w:t xml:space="preserve">informer l'École de toute violation de données dans les meilleurs délais ;</w:t>
      </w:r>
    </w:p>
    <w:p>
      <w:pPr>
        <w:pStyle w:val="ListParagraph"/>
        <w:numPr>
          <w:ilvl w:val="0"/>
          <w:numId w:val="2"/>
        </w:numPr>
        <w:spacing w:after="60"/>
      </w:pPr>
      <w:r>
        <w:t xml:space="preserve">aider l'École à répondre aux demandes des personnes (accès, rectification, suppression).</w:t>
      </w:r>
    </w:p>
    <w:p>
      <w:pPr>
        <w:spacing w:after="120"/>
      </w:pPr>
      <w:r>
        <w:t xml:space="preserve">L'École reste chargée des formalités auprès de la Commission de Protection des Données Personnelles (CDP) pour son propre traitement. [À vérifier avec un juriste : formalités de Fama School en tant que sous-traitant et transferts de données hors du Sénégal.]</w:t>
      </w:r>
    </w:p>
    <w:p>
      <w:pPr>
        <w:pStyle w:val="Heading1"/>
      </w:pPr>
      <w:r>
        <w:t xml:space="preserve">Article 8 — Confidentialité</w:t>
      </w:r>
    </w:p>
    <w:p>
      <w:pPr>
        <w:spacing w:after="120"/>
      </w:pPr>
      <w:r>
        <w:t xml:space="preserve">Chaque partie garde confidentielles les informations de l'autre dont elle a connaissance pendant le pilote, pendant toute sa durée et [deux] ans après sa fin.</w:t>
      </w:r>
    </w:p>
    <w:p>
      <w:pPr>
        <w:pStyle w:val="Heading1"/>
      </w:pPr>
      <w:r>
        <w:t xml:space="preserve">Article 9 — Propriété</w:t>
      </w:r>
    </w:p>
    <w:p>
      <w:pPr>
        <w:spacing w:after="120"/>
      </w:pPr>
      <w:r>
        <w:t xml:space="preserve">L'application, la marque et le logiciel Fama School restent la propriété de Fama School. Les données saisies par l'École restent la propriété de l'École.</w:t>
      </w:r>
    </w:p>
    <w:p>
      <w:pPr>
        <w:pStyle w:val="Heading1"/>
      </w:pPr>
      <w:r>
        <w:t xml:space="preserve">Article 10 — Communication</w:t>
      </w:r>
    </w:p>
    <w:p>
      <w:pPr>
        <w:spacing w:after="120"/>
      </w:pPr>
      <w:r>
        <w:t xml:space="preserve">L'École [autorise / n'autorise pas] Fama School à citer son nom et son logo comme école pilote, et à publier un témoignage validé par elle.</w:t>
      </w:r>
    </w:p>
    <w:p>
      <w:pPr>
        <w:pStyle w:val="Heading1"/>
      </w:pPr>
      <w:r>
        <w:t xml:space="preserve">Article 11 — Fin du pilote et suite</w:t>
      </w:r>
    </w:p>
    <w:p>
      <w:pPr>
        <w:spacing w:after="120"/>
      </w:pPr>
      <w:r>
        <w:t xml:space="preserve">À la fin de la période pilote, les parties font le bilan ensemble. L'École choisit librement :</w:t>
      </w:r>
    </w:p>
    <w:p>
      <w:pPr>
        <w:pStyle w:val="ListParagraph"/>
        <w:numPr>
          <w:ilvl w:val="0"/>
          <w:numId w:val="2"/>
        </w:numPr>
        <w:spacing w:after="60"/>
      </w:pPr>
      <w:r>
        <w:t xml:space="preserve">de </w:t>
      </w:r>
      <w:r>
        <w:rPr>
          <w:b/>
          <w:bCs/>
        </w:rPr>
        <w:t xml:space="preserve">continuer</w:t>
      </w:r>
      <w:r>
        <w:t xml:space="preserve"> avec la formule adaptée à son effectif, aux conditions alors convenues par écrit [préciser ici une éventuelle condition préférentielle, ou supprimer] ;</w:t>
      </w:r>
    </w:p>
    <w:p>
      <w:pPr>
        <w:pStyle w:val="ListParagraph"/>
        <w:numPr>
          <w:ilvl w:val="0"/>
          <w:numId w:val="2"/>
        </w:numPr>
        <w:spacing w:after="60"/>
      </w:pPr>
      <w:r>
        <w:t xml:space="preserve">ou d'</w:t>
      </w:r>
      <w:r>
        <w:rPr>
          <w:b/>
          <w:bCs/>
        </w:rPr>
        <w:t xml:space="preserve">arrêter</w:t>
      </w:r>
      <w:r>
        <w:t xml:space="preserve"> : Fama School lui remet, sur demande, une copie de ses données dans un format lisible (tableur), puis les supprime dans un délai de [trois] mois.</w:t>
      </w:r>
    </w:p>
    <w:p>
      <w:pPr>
        <w:spacing w:after="120"/>
      </w:pPr>
      <w:r>
        <w:t xml:space="preserve">Chaque partie peut mettre fin au pilote avant son terme, par écrit, avec un préavis de [quinze] jours.</w:t>
      </w:r>
    </w:p>
    <w:p>
      <w:pPr>
        <w:pStyle w:val="Heading1"/>
      </w:pPr>
      <w:r>
        <w:t xml:space="preserve">Article 12 — Responsabilité</w:t>
      </w:r>
    </w:p>
    <w:p>
      <w:pPr>
        <w:spacing w:after="120"/>
      </w:pPr>
      <w:r>
        <w:t xml:space="preserve">Fama School met en œuvre les moyens nécessaires au bon fonctionnement de l'application, sans pouvoir garantir une disponibilité sans interruption. L'École reste responsable des informations qu'elle publie (notes, bulletins, montants, annonces).</w:t>
      </w:r>
    </w:p>
    <w:p>
      <w:pPr>
        <w:pStyle w:val="Heading1"/>
      </w:pPr>
      <w:r>
        <w:t xml:space="preserve">Article 13 — Droit applicable et litiges</w:t>
      </w:r>
    </w:p>
    <w:p>
      <w:pPr>
        <w:spacing w:after="120"/>
      </w:pPr>
      <w:r>
        <w:t xml:space="preserve">La présente convention est soumise au droit sénégalais. Les parties rechercheront une solution amiable à tout différend avant de saisir les juridictions compétentes de [Dakar].</w:t>
      </w:r>
    </w:p>
    <w:p>
      <w:pPr>
        <w:pBdr>
          <w:bottom w:val="single" w:color="D9DEE8" w:sz="6" w:space="4"/>
        </w:pBdr>
      </w:pPr>
    </w:p>
    <w:p>
      <w:pPr>
        <w:spacing w:after="120"/>
      </w:pPr>
      <w:r>
        <w:t xml:space="preserve">Fait à [ville], le [date], en deux exemplaires originaux.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9DEE8" w:sz="4"/>
              <w:left w:val="single" w:color="D9DEE8" w:sz="4"/>
              <w:bottom w:val="single" w:color="D9DEE8" w:sz="4"/>
              <w:right w:val="single" w:color="D9DEE8" w:sz="4"/>
            </w:tcBorders>
            <w:shd w:fill="EAF4FB" w:color="auto" w:val="clear"/>
            <w:tcMar>
              <w:top w:type="dxa" w:w="100"/>
              <w:left w:type="dxa" w:w="120"/>
              <w:bottom w:type="dxa" w:w="100"/>
              <w:right w:type="dxa" w:w="120"/>
            </w:tcMar>
          </w:tcPr>
          <w:p>
            <w:r>
              <w:rPr>
                <w:b/>
                <w:bCs/>
                <w:color w:val="1E2433"/>
                <w:sz w:val="20"/>
                <w:szCs w:val="20"/>
              </w:rPr>
              <w:t xml:space="preserve">Pour Fama School</w:t>
            </w:r>
          </w:p>
        </w:tc>
        <w:tc>
          <w:tcPr>
            <w:tcW w:type="dxa" w:w="4513"/>
            <w:tcBorders>
              <w:top w:val="single" w:color="D9DEE8" w:sz="4"/>
              <w:left w:val="single" w:color="D9DEE8" w:sz="4"/>
              <w:bottom w:val="single" w:color="D9DEE8" w:sz="4"/>
              <w:right w:val="single" w:color="D9DEE8" w:sz="4"/>
            </w:tcBorders>
            <w:shd w:fill="EAF4FB" w:color="auto" w:val="clear"/>
            <w:tcMar>
              <w:top w:type="dxa" w:w="100"/>
              <w:left w:type="dxa" w:w="120"/>
              <w:bottom w:type="dxa" w:w="100"/>
              <w:right w:type="dxa" w:w="120"/>
            </w:tcMar>
          </w:tcPr>
          <w:p>
            <w:r>
              <w:rPr>
                <w:b/>
                <w:bCs/>
                <w:color w:val="1E2433"/>
                <w:sz w:val="20"/>
                <w:szCs w:val="20"/>
              </w:rPr>
              <w:t xml:space="preserve">Pour l'École</w:t>
            </w:r>
          </w:p>
        </w:tc>
      </w:tr>
      <w:tr>
        <w:trPr>
          <w:tblHeader w:val="false"/>
        </w:trPr>
        <w:tc>
          <w:tcPr>
            <w:tcW w:type="dxa" w:w="4513"/>
            <w:tcBorders>
              <w:top w:val="single" w:color="D9DEE8" w:sz="4"/>
              <w:left w:val="single" w:color="D9DEE8" w:sz="4"/>
              <w:bottom w:val="single" w:color="D9DEE8" w:sz="4"/>
              <w:right w:val="single" w:color="D9DEE8" w:sz="4"/>
            </w:tcBorders>
            <w:tcMar>
              <w:top w:type="dxa" w:w="100"/>
              <w:left w:type="dxa" w:w="120"/>
              <w:bottom w:type="dxa" w:w="100"/>
              <w:right w:type="dxa" w:w="120"/>
            </w:tcMar>
          </w:tcPr>
          <w:p>
            <w:r>
              <w:rPr>
                <w:b w:val="false"/>
                <w:bCs w:val="false"/>
                <w:color w:val="1E2433"/>
                <w:sz w:val="20"/>
                <w:szCs w:val="20"/>
              </w:rPr>
              <w:t xml:space="preserve">Nom :</w:t>
            </w:r>
          </w:p>
        </w:tc>
        <w:tc>
          <w:tcPr>
            <w:tcW w:type="dxa" w:w="4513"/>
            <w:tcBorders>
              <w:top w:val="single" w:color="D9DEE8" w:sz="4"/>
              <w:left w:val="single" w:color="D9DEE8" w:sz="4"/>
              <w:bottom w:val="single" w:color="D9DEE8" w:sz="4"/>
              <w:right w:val="single" w:color="D9DEE8" w:sz="4"/>
            </w:tcBorders>
            <w:tcMar>
              <w:top w:type="dxa" w:w="100"/>
              <w:left w:type="dxa" w:w="120"/>
              <w:bottom w:type="dxa" w:w="100"/>
              <w:right w:type="dxa" w:w="120"/>
            </w:tcMar>
          </w:tcPr>
          <w:p>
            <w:r>
              <w:rPr>
                <w:b w:val="false"/>
                <w:bCs w:val="false"/>
                <w:color w:val="1E2433"/>
                <w:sz w:val="20"/>
                <w:szCs w:val="20"/>
              </w:rPr>
              <w:t xml:space="preserve">Nom :</w:t>
            </w:r>
          </w:p>
        </w:tc>
      </w:tr>
      <w:tr>
        <w:trPr>
          <w:tblHeader w:val="false"/>
        </w:trPr>
        <w:tc>
          <w:tcPr>
            <w:tcW w:type="dxa" w:w="4513"/>
            <w:tcBorders>
              <w:top w:val="single" w:color="D9DEE8" w:sz="4"/>
              <w:left w:val="single" w:color="D9DEE8" w:sz="4"/>
              <w:bottom w:val="single" w:color="D9DEE8" w:sz="4"/>
              <w:right w:val="single" w:color="D9DEE8" w:sz="4"/>
            </w:tcBorders>
            <w:tcMar>
              <w:top w:type="dxa" w:w="100"/>
              <w:left w:type="dxa" w:w="120"/>
              <w:bottom w:type="dxa" w:w="100"/>
              <w:right w:type="dxa" w:w="120"/>
            </w:tcMar>
          </w:tcPr>
          <w:p>
            <w:r>
              <w:rPr>
                <w:b w:val="false"/>
                <w:bCs w:val="false"/>
                <w:color w:val="1E2433"/>
                <w:sz w:val="20"/>
                <w:szCs w:val="20"/>
              </w:rPr>
              <w:t xml:space="preserve">Fonction :</w:t>
            </w:r>
          </w:p>
        </w:tc>
        <w:tc>
          <w:tcPr>
            <w:tcW w:type="dxa" w:w="4513"/>
            <w:tcBorders>
              <w:top w:val="single" w:color="D9DEE8" w:sz="4"/>
              <w:left w:val="single" w:color="D9DEE8" w:sz="4"/>
              <w:bottom w:val="single" w:color="D9DEE8" w:sz="4"/>
              <w:right w:val="single" w:color="D9DEE8" w:sz="4"/>
            </w:tcBorders>
            <w:tcMar>
              <w:top w:type="dxa" w:w="100"/>
              <w:left w:type="dxa" w:w="120"/>
              <w:bottom w:type="dxa" w:w="100"/>
              <w:right w:type="dxa" w:w="120"/>
            </w:tcMar>
          </w:tcPr>
          <w:p>
            <w:r>
              <w:rPr>
                <w:b w:val="false"/>
                <w:bCs w:val="false"/>
                <w:color w:val="1E2433"/>
                <w:sz w:val="20"/>
                <w:szCs w:val="20"/>
              </w:rPr>
              <w:t xml:space="preserve">Fonction :</w:t>
            </w:r>
          </w:p>
        </w:tc>
      </w:tr>
      <w:tr>
        <w:trPr>
          <w:tblHeader w:val="false"/>
        </w:trPr>
        <w:tc>
          <w:tcPr>
            <w:tcW w:type="dxa" w:w="4513"/>
            <w:tcBorders>
              <w:top w:val="single" w:color="D9DEE8" w:sz="4"/>
              <w:left w:val="single" w:color="D9DEE8" w:sz="4"/>
              <w:bottom w:val="single" w:color="D9DEE8" w:sz="4"/>
              <w:right w:val="single" w:color="D9DEE8" w:sz="4"/>
            </w:tcBorders>
            <w:tcMar>
              <w:top w:type="dxa" w:w="100"/>
              <w:left w:type="dxa" w:w="120"/>
              <w:bottom w:type="dxa" w:w="100"/>
              <w:right w:type="dxa" w:w="120"/>
            </w:tcMar>
          </w:tcPr>
          <w:p>
            <w:r>
              <w:rPr>
                <w:b w:val="false"/>
                <w:bCs w:val="false"/>
                <w:color w:val="1E2433"/>
                <w:sz w:val="20"/>
                <w:szCs w:val="20"/>
              </w:rPr>
              <w:t xml:space="preserve">Signature :</w:t>
            </w:r>
          </w:p>
        </w:tc>
        <w:tc>
          <w:tcPr>
            <w:tcW w:type="dxa" w:w="4513"/>
            <w:tcBorders>
              <w:top w:val="single" w:color="D9DEE8" w:sz="4"/>
              <w:left w:val="single" w:color="D9DEE8" w:sz="4"/>
              <w:bottom w:val="single" w:color="D9DEE8" w:sz="4"/>
              <w:right w:val="single" w:color="D9DEE8" w:sz="4"/>
            </w:tcBorders>
            <w:tcMar>
              <w:top w:type="dxa" w:w="100"/>
              <w:left w:type="dxa" w:w="120"/>
              <w:bottom w:type="dxa" w:w="100"/>
              <w:right w:type="dxa" w:w="120"/>
            </w:tcMar>
          </w:tcPr>
          <w:p>
            <w:r>
              <w:rPr>
                <w:b w:val="false"/>
                <w:bCs w:val="false"/>
                <w:color w:val="1E2433"/>
                <w:sz w:val="20"/>
                <w:szCs w:val="20"/>
              </w:rPr>
              <w:t xml:space="preserve">Signature et cachet :</w:t>
            </w:r>
          </w:p>
        </w:tc>
      </w:tr>
      <w:tr>
        <w:trPr>
          <w:tblHeader w:val="false"/>
        </w:trPr>
        <w:tc>
          <w:tcPr>
            <w:tcW w:type="dxa" w:w="4513"/>
            <w:tcBorders>
              <w:top w:val="single" w:color="D9DEE8" w:sz="4"/>
              <w:left w:val="single" w:color="D9DEE8" w:sz="4"/>
              <w:bottom w:val="single" w:color="D9DEE8" w:sz="4"/>
              <w:right w:val="single" w:color="D9DEE8" w:sz="4"/>
            </w:tcBorders>
            <w:tcMar>
              <w:top w:type="dxa" w:w="100"/>
              <w:left w:type="dxa" w:w="120"/>
              <w:bottom w:type="dxa" w:w="100"/>
              <w:right w:type="dxa" w:w="120"/>
            </w:tcMar>
          </w:tcPr>
          <w:p>
            <w:r>
              <w:rPr>
                <w:b w:val="false"/>
                <w:bCs w:val="false"/>
                <w:color w:val="1E2433"/>
                <w:sz w:val="20"/>
                <w:szCs w:val="20"/>
              </w:rPr>
              <w:t xml:space="preserve"> </w:t>
            </w:r>
          </w:p>
        </w:tc>
        <w:tc>
          <w:tcPr>
            <w:tcW w:type="dxa" w:w="4513"/>
            <w:tcBorders>
              <w:top w:val="single" w:color="D9DEE8" w:sz="4"/>
              <w:left w:val="single" w:color="D9DEE8" w:sz="4"/>
              <w:bottom w:val="single" w:color="D9DEE8" w:sz="4"/>
              <w:right w:val="single" w:color="D9DEE8" w:sz="4"/>
            </w:tcBorders>
            <w:tcMar>
              <w:top w:type="dxa" w:w="100"/>
              <w:left w:type="dxa" w:w="120"/>
              <w:bottom w:type="dxa" w:w="100"/>
              <w:right w:type="dxa" w:w="120"/>
            </w:tcMar>
          </w:tcPr>
          <w:p>
            <w:r>
              <w:rPr>
                <w:b w:val="false"/>
                <w:bCs w:val="false"/>
                <w:color w:val="1E2433"/>
                <w:sz w:val="20"/>
                <w:szCs w:val="20"/>
              </w:rPr>
              <w:t xml:space="preserve"> </w:t>
            </w:r>
          </w:p>
        </w:tc>
      </w:tr>
    </w:tbl>
    <w:p>
      <w:pPr>
        <w:spacing w:after="120"/>
      </w:pPr>
    </w:p>
    <w:sectPr>
      <w:footerReference w:type="default" r:id="rId6"/>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468"/>
        <w:sz w:val="16"/>
        <w:szCs w:val="16"/>
      </w:rPr>
      <w:t xml:space="preserve">Fama School · +221 77 765 09 80 · contact@famaschool.sn · page </w:t>
    </w:r>
    <w:r>
      <w:rPr>
        <w:color w:val="4A54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4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60"/>
    </w:pPr>
    <w:rPr>
      <w:b/>
      <w:bCs/>
      <w:color w:val="1E2433"/>
      <w:sz w:val="40"/>
      <w:szCs w:val="40"/>
    </w:rPr>
  </w:style>
  <w:style w:type="paragraph" w:styleId="Heading1">
    <w:name w:val="Heading 1"/>
    <w:basedOn w:val="Normal"/>
    <w:next w:val="Normal"/>
    <w:qFormat/>
    <w:pPr>
      <w:spacing w:before="280" w:after="120"/>
      <w:outlineLvl w:val="0"/>
    </w:pPr>
    <w:rPr>
      <w:b/>
      <w:bCs/>
      <w:color w:val="1570A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d'école pilote</dc:title>
  <dc:creator>Fama School</dc:creator>
  <cp:lastModifiedBy>Un-named</cp:lastModifiedBy>
  <cp:revision>1</cp:revision>
  <dcterms:created xsi:type="dcterms:W3CDTF">2026-10-30T23:03:56.617Z</dcterms:created>
  <dcterms:modified xsi:type="dcterms:W3CDTF">2026-10-30T23:03:56.617Z</dcterms:modified>
</cp:coreProperties>
</file>

<file path=docProps/custom.xml><?xml version="1.0" encoding="utf-8"?>
<Properties xmlns="http://schemas.openxmlformats.org/officeDocument/2006/custom-properties" xmlns:vt="http://schemas.openxmlformats.org/officeDocument/2006/docPropsVTypes"/>
</file>