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RAPPORT DE SIMULATION</w:t>
      </w:r>
    </w:p>
    <w:p>
      <w:pPr>
        <w:jc w:val="center"/>
      </w:pPr>
      <w:r>
        <w:t>Analyse de Stabilité Temporelle du Clustering</w:t>
      </w:r>
    </w:p>
    <w:p>
      <w:pPr>
        <w:jc w:val="center"/>
      </w:pPr>
      <w:r>
        <w:t>Généré le 10/05/2026 à 21:09</w:t>
      </w:r>
    </w:p>
    <w:p>
      <w:r>
        <w:br w:type="page"/>
      </w:r>
    </w:p>
    <w:p>
      <w:pPr>
        <w:pStyle w:val="Heading1"/>
      </w:pPr>
      <w:r>
        <w:t>Configuration de la Simulation</w:t>
      </w:r>
    </w:p>
    <w:p>
      <w:r>
        <w:t>Modèle : best_clustering_kmeans_k4.pkl</w:t>
      </w:r>
    </w:p>
    <w:p>
      <w:r>
        <w:t>Algorithme : UMAP + KMeans</w:t>
      </w:r>
    </w:p>
    <w:p>
      <w:r>
        <w:t>k optimal : 4</w:t>
      </w:r>
    </w:p>
    <w:p>
      <w:r>
        <w:t>Features (9) : Log_Recency, Log_Monetary, Frequency_flag, avg_freight_ratio, avg_delivery_delay, avg_review_score, payment_type_cc_flag, avg_installments, region_freight_score</w:t>
      </w:r>
    </w:p>
    <w:p>
      <w:r>
        <w:t>Clients total : 75,937</w:t>
      </w:r>
    </w:p>
    <w:p>
      <w:pPr>
        <w:pStyle w:val="Heading2"/>
      </w:pPr>
      <w:r>
        <w:t>Fenêtres temporelles</w:t>
      </w:r>
    </w:p>
    <w:p>
      <w:r>
        <w:t>• T1 ≤ 2017-06-30 :   7,834 clients</w:t>
      </w:r>
    </w:p>
    <w:p>
      <w:r>
        <w:t>• T2 ≤ 2017-12-31 :  33,506 clients</w:t>
      </w:r>
    </w:p>
    <w:p>
      <w:r>
        <w:t>• T3 ≤ 2018-06-30 :  68,717 clients</w:t>
      </w:r>
    </w:p>
    <w:p>
      <w:r>
        <w:t>• T4 ≤ 2018-08-07 :  75,937 clients</w:t>
      </w:r>
    </w:p>
    <w:p>
      <w:r>
        <w:br w:type="page"/>
      </w:r>
    </w:p>
    <w:p>
      <w:pPr>
        <w:pStyle w:val="Heading2"/>
      </w:pPr>
      <w:r>
        <w:t>Métriques de Clustering par Fenêtre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Fenêtre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Clients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Silhouette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Davies-Bouldin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Calinski-Harabasz</w:t>
            </w:r>
          </w:p>
        </w:tc>
      </w:tr>
      <w:tr>
        <w:tc>
          <w:tcPr>
            <w:tcW w:type="dxa" w:w="1728"/>
          </w:tcPr>
          <w:p>
            <w:r>
              <w:t>T1</w:t>
            </w:r>
          </w:p>
        </w:tc>
        <w:tc>
          <w:tcPr>
            <w:tcW w:type="dxa" w:w="1728"/>
          </w:tcPr>
          <w:p>
            <w:r>
              <w:t>7,834</w:t>
            </w:r>
          </w:p>
        </w:tc>
        <w:tc>
          <w:tcPr>
            <w:tcW w:type="dxa" w:w="1728"/>
          </w:tcPr>
          <w:p>
            <w:r>
              <w:t>0.3550</w:t>
            </w:r>
          </w:p>
        </w:tc>
        <w:tc>
          <w:tcPr>
            <w:tcW w:type="dxa" w:w="1728"/>
          </w:tcPr>
          <w:p>
            <w:r>
              <w:t>0.8311</w:t>
            </w:r>
          </w:p>
        </w:tc>
        <w:tc>
          <w:tcPr>
            <w:tcW w:type="dxa" w:w="1728"/>
          </w:tcPr>
          <w:p>
            <w:r>
              <w:t>6,045</w:t>
            </w:r>
          </w:p>
        </w:tc>
      </w:tr>
      <w:tr>
        <w:tc>
          <w:tcPr>
            <w:tcW w:type="dxa" w:w="1728"/>
          </w:tcPr>
          <w:p>
            <w:r>
              <w:t>T2</w:t>
            </w:r>
          </w:p>
        </w:tc>
        <w:tc>
          <w:tcPr>
            <w:tcW w:type="dxa" w:w="1728"/>
          </w:tcPr>
          <w:p>
            <w:r>
              <w:t>33,506</w:t>
            </w:r>
          </w:p>
        </w:tc>
        <w:tc>
          <w:tcPr>
            <w:tcW w:type="dxa" w:w="1728"/>
          </w:tcPr>
          <w:p>
            <w:r>
              <w:t>0.3463</w:t>
            </w:r>
          </w:p>
        </w:tc>
        <w:tc>
          <w:tcPr>
            <w:tcW w:type="dxa" w:w="1728"/>
          </w:tcPr>
          <w:p>
            <w:r>
              <w:t>0.8815</w:t>
            </w:r>
          </w:p>
        </w:tc>
        <w:tc>
          <w:tcPr>
            <w:tcW w:type="dxa" w:w="1728"/>
          </w:tcPr>
          <w:p>
            <w:r>
              <w:t>28,635</w:t>
            </w:r>
          </w:p>
        </w:tc>
      </w:tr>
      <w:tr>
        <w:tc>
          <w:tcPr>
            <w:tcW w:type="dxa" w:w="1728"/>
          </w:tcPr>
          <w:p>
            <w:r>
              <w:t>T3</w:t>
            </w:r>
          </w:p>
        </w:tc>
        <w:tc>
          <w:tcPr>
            <w:tcW w:type="dxa" w:w="1728"/>
          </w:tcPr>
          <w:p>
            <w:r>
              <w:t>68,717</w:t>
            </w:r>
          </w:p>
        </w:tc>
        <w:tc>
          <w:tcPr>
            <w:tcW w:type="dxa" w:w="1728"/>
          </w:tcPr>
          <w:p>
            <w:r>
              <w:t>0.3693</w:t>
            </w:r>
          </w:p>
        </w:tc>
        <w:tc>
          <w:tcPr>
            <w:tcW w:type="dxa" w:w="1728"/>
          </w:tcPr>
          <w:p>
            <w:r>
              <w:t>0.8347</w:t>
            </w:r>
          </w:p>
        </w:tc>
        <w:tc>
          <w:tcPr>
            <w:tcW w:type="dxa" w:w="1728"/>
          </w:tcPr>
          <w:p>
            <w:r>
              <w:t>68,298</w:t>
            </w:r>
          </w:p>
        </w:tc>
      </w:tr>
      <w:tr>
        <w:tc>
          <w:tcPr>
            <w:tcW w:type="dxa" w:w="1728"/>
          </w:tcPr>
          <w:p>
            <w:r>
              <w:t>T4</w:t>
            </w:r>
          </w:p>
        </w:tc>
        <w:tc>
          <w:tcPr>
            <w:tcW w:type="dxa" w:w="1728"/>
          </w:tcPr>
          <w:p>
            <w:r>
              <w:t>75,937</w:t>
            </w:r>
          </w:p>
        </w:tc>
        <w:tc>
          <w:tcPr>
            <w:tcW w:type="dxa" w:w="1728"/>
          </w:tcPr>
          <w:p>
            <w:r>
              <w:t>0.3684</w:t>
            </w:r>
          </w:p>
        </w:tc>
        <w:tc>
          <w:tcPr>
            <w:tcW w:type="dxa" w:w="1728"/>
          </w:tcPr>
          <w:p>
            <w:r>
              <w:t>0.8394</w:t>
            </w:r>
          </w:p>
        </w:tc>
        <w:tc>
          <w:tcPr>
            <w:tcW w:type="dxa" w:w="1728"/>
          </w:tcPr>
          <w:p>
            <w:r>
              <w:t>73,955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4864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qb_zwfau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ozujr65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Profil des Clusters — Fenêtre T4 (Dataset complet)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cluster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n_customers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pct_customers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CLV_proxy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Monetary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Frequency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Frequency_flag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14531</w:t>
            </w:r>
          </w:p>
        </w:tc>
        <w:tc>
          <w:tcPr>
            <w:tcW w:type="dxa" w:w="1234"/>
          </w:tcPr>
          <w:p>
            <w:r>
              <w:t>19.14</w:t>
            </w:r>
          </w:p>
        </w:tc>
        <w:tc>
          <w:tcPr>
            <w:tcW w:type="dxa" w:w="1234"/>
          </w:tcPr>
          <w:p>
            <w:r>
              <w:t>116.83</w:t>
            </w:r>
          </w:p>
        </w:tc>
        <w:tc>
          <w:tcPr>
            <w:tcW w:type="dxa" w:w="1234"/>
          </w:tcPr>
          <w:p>
            <w:r>
              <w:t>116.83</w:t>
            </w:r>
          </w:p>
        </w:tc>
        <w:tc>
          <w:tcPr>
            <w:tcW w:type="dxa" w:w="1234"/>
          </w:tcPr>
          <w:p>
            <w:r>
              <w:t>1.00</w:t>
            </w:r>
          </w:p>
        </w:tc>
        <w:tc>
          <w:tcPr>
            <w:tcW w:type="dxa" w:w="1234"/>
          </w:tcPr>
          <w:p>
            <w:r>
              <w:t>0.00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3474</w:t>
            </w:r>
          </w:p>
        </w:tc>
        <w:tc>
          <w:tcPr>
            <w:tcW w:type="dxa" w:w="1234"/>
          </w:tcPr>
          <w:p>
            <w:r>
              <w:t>4.57</w:t>
            </w:r>
          </w:p>
        </w:tc>
        <w:tc>
          <w:tcPr>
            <w:tcW w:type="dxa" w:w="1234"/>
          </w:tcPr>
          <w:p>
            <w:r>
              <w:t>116.80</w:t>
            </w:r>
          </w:p>
        </w:tc>
        <w:tc>
          <w:tcPr>
            <w:tcW w:type="dxa" w:w="1234"/>
          </w:tcPr>
          <w:p>
            <w:r>
              <w:t>116.80</w:t>
            </w:r>
          </w:p>
        </w:tc>
        <w:tc>
          <w:tcPr>
            <w:tcW w:type="dxa" w:w="1234"/>
          </w:tcPr>
          <w:p>
            <w:r>
              <w:t>1.00</w:t>
            </w:r>
          </w:p>
        </w:tc>
        <w:tc>
          <w:tcPr>
            <w:tcW w:type="dxa" w:w="1234"/>
          </w:tcPr>
          <w:p>
            <w:r>
              <w:t>0.00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34886</w:t>
            </w:r>
          </w:p>
        </w:tc>
        <w:tc>
          <w:tcPr>
            <w:tcW w:type="dxa" w:w="1234"/>
          </w:tcPr>
          <w:p>
            <w:r>
              <w:t>45.94</w:t>
            </w:r>
          </w:p>
        </w:tc>
        <w:tc>
          <w:tcPr>
            <w:tcW w:type="dxa" w:w="1234"/>
          </w:tcPr>
          <w:p>
            <w:r>
              <w:t>107.78</w:t>
            </w:r>
          </w:p>
        </w:tc>
        <w:tc>
          <w:tcPr>
            <w:tcW w:type="dxa" w:w="1234"/>
          </w:tcPr>
          <w:p>
            <w:r>
              <w:t>107.78</w:t>
            </w:r>
          </w:p>
        </w:tc>
        <w:tc>
          <w:tcPr>
            <w:tcW w:type="dxa" w:w="1234"/>
          </w:tcPr>
          <w:p>
            <w:r>
              <w:t>1.00</w:t>
            </w:r>
          </w:p>
        </w:tc>
        <w:tc>
          <w:tcPr>
            <w:tcW w:type="dxa" w:w="1234"/>
          </w:tcPr>
          <w:p>
            <w:r>
              <w:t>0.00</w:t>
            </w:r>
          </w:p>
        </w:tc>
      </w:tr>
      <w:tr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23046</w:t>
            </w:r>
          </w:p>
        </w:tc>
        <w:tc>
          <w:tcPr>
            <w:tcW w:type="dxa" w:w="1234"/>
          </w:tcPr>
          <w:p>
            <w:r>
              <w:t>30.35</w:t>
            </w:r>
          </w:p>
        </w:tc>
        <w:tc>
          <w:tcPr>
            <w:tcW w:type="dxa" w:w="1234"/>
          </w:tcPr>
          <w:p>
            <w:r>
              <w:t>103.07</w:t>
            </w:r>
          </w:p>
        </w:tc>
        <w:tc>
          <w:tcPr>
            <w:tcW w:type="dxa" w:w="1234"/>
          </w:tcPr>
          <w:p>
            <w:r>
              <w:t>103.07</w:t>
            </w:r>
          </w:p>
        </w:tc>
        <w:tc>
          <w:tcPr>
            <w:tcW w:type="dxa" w:w="1234"/>
          </w:tcPr>
          <w:p>
            <w:r>
              <w:t>1.00</w:t>
            </w:r>
          </w:p>
        </w:tc>
        <w:tc>
          <w:tcPr>
            <w:tcW w:type="dxa" w:w="1234"/>
          </w:tcPr>
          <w:p>
            <w:r>
              <w:t>0.00</w:t>
            </w:r>
          </w:p>
        </w:tc>
      </w:tr>
    </w:tbl>
    <w:p/>
    <w:p>
      <w:pPr>
        <w:pStyle w:val="Heading2"/>
      </w:pPr>
      <w:r>
        <w:t>Delta CLV Proxy — T3 → T4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cluster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CLV_T3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CLV_T4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delta_pct</w:t>
            </w:r>
          </w:p>
        </w:tc>
      </w:tr>
      <w:tr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117.26</w:t>
            </w:r>
          </w:p>
        </w:tc>
        <w:tc>
          <w:tcPr>
            <w:tcW w:type="dxa" w:w="2160"/>
          </w:tcPr>
          <w:p>
            <w:r>
              <w:t>103.07</w:t>
            </w:r>
          </w:p>
        </w:tc>
        <w:tc>
          <w:tcPr>
            <w:tcW w:type="dxa" w:w="2160"/>
          </w:tcPr>
          <w:p>
            <w:r>
              <w:t>-12.10%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115.58</w:t>
            </w:r>
          </w:p>
        </w:tc>
        <w:tc>
          <w:tcPr>
            <w:tcW w:type="dxa" w:w="2160"/>
          </w:tcPr>
          <w:p>
            <w:r>
              <w:t>107.78</w:t>
            </w:r>
          </w:p>
        </w:tc>
        <w:tc>
          <w:tcPr>
            <w:tcW w:type="dxa" w:w="2160"/>
          </w:tcPr>
          <w:p>
            <w:r>
              <w:t>-6.75%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106.91</w:t>
            </w:r>
          </w:p>
        </w:tc>
        <w:tc>
          <w:tcPr>
            <w:tcW w:type="dxa" w:w="2160"/>
          </w:tcPr>
          <w:p>
            <w:r>
              <w:t>116.80</w:t>
            </w:r>
          </w:p>
        </w:tc>
        <w:tc>
          <w:tcPr>
            <w:tcW w:type="dxa" w:w="2160"/>
          </w:tcPr>
          <w:p>
            <w:r>
              <w:t>+9.25%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103.55</w:t>
            </w:r>
          </w:p>
        </w:tc>
        <w:tc>
          <w:tcPr>
            <w:tcW w:type="dxa" w:w="2160"/>
          </w:tcPr>
          <w:p>
            <w:r>
              <w:t>116.83</w:t>
            </w:r>
          </w:p>
        </w:tc>
        <w:tc>
          <w:tcPr>
            <w:tcW w:type="dxa" w:w="2160"/>
          </w:tcPr>
          <w:p>
            <w:r>
              <w:t>+12.82%</w:t>
            </w:r>
          </w:p>
        </w:tc>
      </w:tr>
    </w:tbl>
    <w:p/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tqudkir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Synthèse des signaux de stabilité</w:t>
      </w:r>
    </w:p>
    <w:p>
      <w:r>
        <w:t>✅ STABLE | ARI T3→T4 = 0.9989 → Semestriel</w:t>
      </w:r>
    </w:p>
    <w:p>
      <w:r>
        <w:t>✅ STABLE | Delta CLV max = 12.8% → —</w:t>
      </w:r>
    </w:p>
    <w:p>
      <w:r>
        <w:t>✅ ROBUSTE | CV Bootstrap = 0.0071 → —</w:t>
      </w:r>
    </w:p>
    <w:p>
      <w:pPr>
        <w:pStyle w:val="Heading2"/>
      </w:pPr>
      <w:r>
        <w:t>Recommandation Finale</w:t>
      </w:r>
    </w:p>
    <w:p>
      <w:r>
        <w:rPr>
          <w:b/>
          <w:sz w:val="28"/>
        </w:rPr>
        <w:t>Ré-entraînement recommandé : SEMESTRIEL</w:t>
      </w:r>
    </w:p>
    <w:p>
      <w:pPr>
        <w:pStyle w:val="Heading3"/>
      </w:pPr>
      <w:r>
        <w:t>Grille de décision</w:t>
      </w:r>
    </w:p>
    <w:p>
      <w:r>
        <w:t>ARI &gt; 0.7 → ✅ Semestriel</w:t>
      </w:r>
    </w:p>
    <w:p>
      <w:r>
        <w:t>ARI 0.5 – 0.7 → ⚠️ Trimestriel</w:t>
      </w:r>
    </w:p>
    <w:p>
      <w:r>
        <w:t>ARI &lt; 0.5 → 🚨 Mensuel + alerting</w:t>
      </w:r>
    </w:p>
    <w:p>
      <w:r>
        <w:t>Delta CLV &gt; 20% → 🚨 Ré-entraînement immédiat</w:t>
      </w:r>
    </w:p>
    <w:p>
      <w:r>
        <w:t>CV bootstrap &lt; 0.05 → ✅ Modèle robuste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