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Résultats de Modélisation</w:t>
      </w:r>
    </w:p>
    <w:p>
      <w:pPr>
        <w:jc w:val="center"/>
      </w:pPr>
      <w:r>
        <w:rPr>
          <w:color w:val="2E75B6"/>
          <w:sz w:val="24"/>
        </w:rPr>
        <w:t>Segmentation Client Olist — Pipeline ML &amp; Évaluation des Algorithmes</w:t>
      </w:r>
    </w:p>
    <w:p>
      <w:pPr>
        <w:jc w:val="center"/>
      </w:pPr>
      <w:r>
        <w:t>Projet académique — Master Data Science</w:t>
        <w:br/>
        <w:t>2026</w:t>
      </w:r>
    </w:p>
    <w:p>
      <w:r>
        <w:br w:type="page"/>
      </w:r>
    </w:p>
    <w:p>
      <w:pPr>
        <w:pStyle w:val="Heading1"/>
      </w:pPr>
      <w:r>
        <w:rPr>
          <w:color w:val="1F3864"/>
        </w:rPr>
        <w:t>1. Contexte &amp; Méthodologie</w:t>
      </w:r>
    </w:p>
    <w:p/>
    <w:p>
      <w:r>
        <w:t>L'objectif est de segmenter 93 358 clients Olist (marketplace brésilienne) en groupes homogènes pour permettre aux équipes marketing de personnaliser leurs actions. Le pipeline ML compare 6 algorithmes de clustering sur des features RFM enrichies, puis sélectionne le modèle optimal selon un score composite (Silhouette, Davies-Bouldin, Calinski-Harabasz).</w:t>
      </w:r>
    </w:p>
    <w:p>
      <w:pPr>
        <w:pStyle w:val="Heading2"/>
      </w:pPr>
      <w:r>
        <w:rPr>
          <w:color w:val="2E75B6"/>
        </w:rPr>
        <w:t>Pipeline de modélisation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47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Données</w:t>
            </w:r>
          </w:p>
        </w:tc>
        <w:tc>
          <w:tcPr>
            <w:tcW w:type="dxa" w:w="4703"/>
          </w:tcPr>
          <w:p>
            <w:r>
              <w:t>93 358 clients · 100 000+ commandes · Neon PostgreSQL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Feature Engineering</w:t>
            </w:r>
          </w:p>
        </w:tc>
        <w:tc>
          <w:tcPr>
            <w:tcW w:type="dxa" w:w="4703"/>
          </w:tcPr>
          <w:p>
            <w:r>
              <w:t>10 features construites (RFM + logistique + satisfaction + géo) → 9 retenues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Prétraitement</w:t>
            </w:r>
          </w:p>
        </w:tc>
        <w:tc>
          <w:tcPr>
            <w:tcW w:type="dxa" w:w="4703"/>
          </w:tcPr>
          <w:p>
            <w:r>
              <w:t>IQR filter (q5/q95) → log10 → StandardScaler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Réduction dimensionnelle</w:t>
            </w:r>
          </w:p>
        </w:tc>
        <w:tc>
          <w:tcPr>
            <w:tcW w:type="dxa" w:w="4703"/>
          </w:tcPr>
          <w:p>
            <w:r>
              <w:t>UMAP (n_neighbors=750, n_components=2, min_dist=0)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Clustering</w:t>
            </w:r>
          </w:p>
        </w:tc>
        <w:tc>
          <w:tcPr>
            <w:tcW w:type="dxa" w:w="4703"/>
          </w:tcPr>
          <w:p>
            <w:r>
              <w:t>KMeans k-search (k=3 à 8) → sélection par Silhouette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Modèle retenu</w:t>
            </w:r>
          </w:p>
        </w:tc>
        <w:tc>
          <w:tcPr>
            <w:tcW w:type="dxa" w:w="4703"/>
          </w:tcPr>
          <w:p>
            <w:r>
              <w:t>UMAP + KMeans k=4 · Silhouette 0.449 · Davies-Bouldin 0.737</w:t>
            </w:r>
          </w:p>
        </w:tc>
      </w:tr>
    </w:tbl>
    <w:p/>
    <w:p>
      <w:pPr>
        <w:pStyle w:val="Heading1"/>
      </w:pPr>
      <w:r>
        <w:rPr>
          <w:color w:val="1F3864"/>
        </w:rPr>
        <w:t>2. Comparaison des Algorithmes</w:t>
      </w:r>
    </w:p>
    <w:p/>
    <w:p>
      <w:r>
        <w:t>Deux familles d'approches ont été testées : clustering direct sur les 9 features normalisées, et clustering après réduction dimensionnelle UMAP sur les 3 features RFM. Le score composite normalise les 3 métriques entre 0 et 1 (Silhouette ↑, Davies-Bouldin ↓, Calinski-Harabasz ↑).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Algorithme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Silhouette ↑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Davies-Bouldin ↓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Calinski-Harabasz ↑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 Composite</w:t>
            </w:r>
          </w:p>
        </w:tc>
      </w:tr>
      <w:tr>
        <w:tc>
          <w:tcPr>
            <w:tcW w:type="dxa" w:w="1881"/>
          </w:tcPr>
          <w:p>
            <w:r>
              <w:t>KMeans (9 feat., k=8)</w:t>
            </w:r>
          </w:p>
        </w:tc>
        <w:tc>
          <w:tcPr>
            <w:tcW w:type="dxa" w:w="1881"/>
          </w:tcPr>
          <w:p>
            <w:r>
              <w:t>0.2247</w:t>
            </w:r>
          </w:p>
        </w:tc>
        <w:tc>
          <w:tcPr>
            <w:tcW w:type="dxa" w:w="1881"/>
          </w:tcPr>
          <w:p>
            <w:r>
              <w:t>1.2597</w:t>
            </w:r>
          </w:p>
        </w:tc>
        <w:tc>
          <w:tcPr>
            <w:tcW w:type="dxa" w:w="1881"/>
          </w:tcPr>
          <w:p>
            <w:r>
              <w:t>15607.8</w:t>
            </w:r>
          </w:p>
        </w:tc>
        <w:tc>
          <w:tcPr>
            <w:tcW w:type="dxa" w:w="1881"/>
          </w:tcPr>
          <w:p>
            <w:r>
              <w:t>-0.1075</w:t>
            </w:r>
          </w:p>
        </w:tc>
      </w:tr>
      <w:tr>
        <w:tc>
          <w:tcPr>
            <w:tcW w:type="dxa" w:w="1881"/>
          </w:tcPr>
          <w:p>
            <w:r>
              <w:t>BisectingKMeans (9 feat., k=4)</w:t>
            </w:r>
          </w:p>
        </w:tc>
        <w:tc>
          <w:tcPr>
            <w:tcW w:type="dxa" w:w="1881"/>
          </w:tcPr>
          <w:p>
            <w:r>
              <w:t>0.1666</w:t>
            </w:r>
          </w:p>
        </w:tc>
        <w:tc>
          <w:tcPr>
            <w:tcW w:type="dxa" w:w="1881"/>
          </w:tcPr>
          <w:p>
            <w:r>
              <w:t>1.7026</w:t>
            </w:r>
          </w:p>
        </w:tc>
        <w:tc>
          <w:tcPr>
            <w:tcW w:type="dxa" w:w="1881"/>
          </w:tcPr>
          <w:p>
            <w:r>
              <w:t>14211.3</w:t>
            </w:r>
          </w:p>
        </w:tc>
        <w:tc>
          <w:tcPr>
            <w:tcW w:type="dxa" w:w="1881"/>
          </w:tcPr>
          <w:p>
            <w:r>
              <w:t>-0.3333</w:t>
            </w:r>
          </w:p>
        </w:tc>
      </w:tr>
      <w:tr>
        <w:tc>
          <w:tcPr>
            <w:tcW w:type="dxa" w:w="1881"/>
          </w:tcPr>
          <w:p>
            <w:r>
              <w:t>UMAP + KMeans k=3</w:t>
            </w:r>
          </w:p>
        </w:tc>
        <w:tc>
          <w:tcPr>
            <w:tcW w:type="dxa" w:w="1881"/>
          </w:tcPr>
          <w:p>
            <w:r>
              <w:t>0.4310</w:t>
            </w:r>
          </w:p>
        </w:tc>
        <w:tc>
          <w:tcPr>
            <w:tcW w:type="dxa" w:w="1881"/>
          </w:tcPr>
          <w:p>
            <w:r>
              <w:t>0.8386</w:t>
            </w:r>
          </w:p>
        </w:tc>
        <w:tc>
          <w:tcPr>
            <w:tcW w:type="dxa" w:w="1881"/>
          </w:tcPr>
          <w:p>
            <w:r>
              <w:t>81963.2</w:t>
            </w:r>
          </w:p>
        </w:tc>
        <w:tc>
          <w:tcPr>
            <w:tcW w:type="dxa" w:w="1881"/>
          </w:tcPr>
          <w:p>
            <w:r>
              <w:t>0.5317</w:t>
            </w:r>
          </w:p>
        </w:tc>
      </w:tr>
      <w:tr>
        <w:tc>
          <w:tcPr>
            <w:tcW w:type="dxa" w:w="1881"/>
            <w:shd w:val="clear" w:color="auto" w:fill="FFF2CC"/>
          </w:tcPr>
          <w:p>
            <w:r>
              <w:rPr>
                <w:b/>
              </w:rPr>
              <w:t>UMAP + KMeans k=4 ★</w:t>
            </w:r>
          </w:p>
        </w:tc>
        <w:tc>
          <w:tcPr>
            <w:tcW w:type="dxa" w:w="1881"/>
            <w:shd w:val="clear" w:color="auto" w:fill="FFF2CC"/>
          </w:tcPr>
          <w:p>
            <w:r>
              <w:rPr>
                <w:b/>
              </w:rPr>
              <w:t>0.4486</w:t>
            </w:r>
          </w:p>
        </w:tc>
        <w:tc>
          <w:tcPr>
            <w:tcW w:type="dxa" w:w="1881"/>
            <w:shd w:val="clear" w:color="auto" w:fill="FFF2CC"/>
          </w:tcPr>
          <w:p>
            <w:r>
              <w:rPr>
                <w:b/>
              </w:rPr>
              <w:t>0.7374</w:t>
            </w:r>
          </w:p>
        </w:tc>
        <w:tc>
          <w:tcPr>
            <w:tcW w:type="dxa" w:w="1881"/>
            <w:shd w:val="clear" w:color="auto" w:fill="FFF2CC"/>
          </w:tcPr>
          <w:p>
            <w:r>
              <w:rPr>
                <w:b/>
              </w:rPr>
              <w:t>92506.3</w:t>
            </w:r>
          </w:p>
        </w:tc>
        <w:tc>
          <w:tcPr>
            <w:tcW w:type="dxa" w:w="1881"/>
            <w:shd w:val="clear" w:color="auto" w:fill="FFF2CC"/>
          </w:tcPr>
          <w:p>
            <w:r>
              <w:rPr>
                <w:b/>
              </w:rPr>
              <w:t>0.6271</w:t>
            </w:r>
          </w:p>
        </w:tc>
      </w:tr>
      <w:tr>
        <w:tc>
          <w:tcPr>
            <w:tcW w:type="dxa" w:w="1881"/>
          </w:tcPr>
          <w:p>
            <w:r>
              <w:t>UMAP + KMeans k=5</w:t>
            </w:r>
          </w:p>
        </w:tc>
        <w:tc>
          <w:tcPr>
            <w:tcW w:type="dxa" w:w="1881"/>
          </w:tcPr>
          <w:p>
            <w:r>
              <w:t>0.4240</w:t>
            </w:r>
          </w:p>
        </w:tc>
        <w:tc>
          <w:tcPr>
            <w:tcW w:type="dxa" w:w="1881"/>
          </w:tcPr>
          <w:p>
            <w:r>
              <w:t>0.8067</w:t>
            </w:r>
          </w:p>
        </w:tc>
        <w:tc>
          <w:tcPr>
            <w:tcW w:type="dxa" w:w="1881"/>
          </w:tcPr>
          <w:p>
            <w:r>
              <w:t>94647.5</w:t>
            </w:r>
          </w:p>
        </w:tc>
        <w:tc>
          <w:tcPr>
            <w:tcW w:type="dxa" w:w="1881"/>
          </w:tcPr>
          <w:p>
            <w:r>
              <w:t>0.5824</w:t>
            </w:r>
          </w:p>
        </w:tc>
      </w:tr>
      <w:tr>
        <w:tc>
          <w:tcPr>
            <w:tcW w:type="dxa" w:w="1881"/>
          </w:tcPr>
          <w:p>
            <w:r>
              <w:t>UMAP + KMeans k=6</w:t>
            </w:r>
          </w:p>
        </w:tc>
        <w:tc>
          <w:tcPr>
            <w:tcW w:type="dxa" w:w="1881"/>
          </w:tcPr>
          <w:p>
            <w:r>
              <w:t>0.4131</w:t>
            </w:r>
          </w:p>
        </w:tc>
        <w:tc>
          <w:tcPr>
            <w:tcW w:type="dxa" w:w="1881"/>
          </w:tcPr>
          <w:p>
            <w:r>
              <w:t>0.8014</w:t>
            </w:r>
          </w:p>
        </w:tc>
        <w:tc>
          <w:tcPr>
            <w:tcW w:type="dxa" w:w="1881"/>
          </w:tcPr>
          <w:p>
            <w:r>
              <w:t>93315.8</w:t>
            </w:r>
          </w:p>
        </w:tc>
        <w:tc>
          <w:tcPr>
            <w:tcW w:type="dxa" w:w="1881"/>
          </w:tcPr>
          <w:p>
            <w:r>
              <w:t>0.5663</w:t>
            </w:r>
          </w:p>
        </w:tc>
      </w:tr>
      <w:tr>
        <w:tc>
          <w:tcPr>
            <w:tcW w:type="dxa" w:w="1881"/>
          </w:tcPr>
          <w:p>
            <w:r>
              <w:t>UMAP + KMeans k=7</w:t>
            </w:r>
          </w:p>
        </w:tc>
        <w:tc>
          <w:tcPr>
            <w:tcW w:type="dxa" w:w="1881"/>
          </w:tcPr>
          <w:p>
            <w:r>
              <w:t>0.4088</w:t>
            </w:r>
          </w:p>
        </w:tc>
        <w:tc>
          <w:tcPr>
            <w:tcW w:type="dxa" w:w="1881"/>
          </w:tcPr>
          <w:p>
            <w:r>
              <w:t>0.8132</w:t>
            </w:r>
          </w:p>
        </w:tc>
        <w:tc>
          <w:tcPr>
            <w:tcW w:type="dxa" w:w="1881"/>
          </w:tcPr>
          <w:p>
            <w:r>
              <w:t>95614.2</w:t>
            </w:r>
          </w:p>
        </w:tc>
        <w:tc>
          <w:tcPr>
            <w:tcW w:type="dxa" w:w="1881"/>
          </w:tcPr>
          <w:p>
            <w:r>
              <w:t>0.5658</w:t>
            </w:r>
          </w:p>
        </w:tc>
      </w:tr>
      <w:tr>
        <w:tc>
          <w:tcPr>
            <w:tcW w:type="dxa" w:w="1881"/>
          </w:tcPr>
          <w:p>
            <w:r>
              <w:t>UMAP + KMeans k=8</w:t>
            </w:r>
          </w:p>
        </w:tc>
        <w:tc>
          <w:tcPr>
            <w:tcW w:type="dxa" w:w="1881"/>
          </w:tcPr>
          <w:p>
            <w:r>
              <w:t>0.4331</w:t>
            </w:r>
          </w:p>
        </w:tc>
        <w:tc>
          <w:tcPr>
            <w:tcW w:type="dxa" w:w="1881"/>
          </w:tcPr>
          <w:p>
            <w:r>
              <w:t>0.7307</w:t>
            </w:r>
          </w:p>
        </w:tc>
        <w:tc>
          <w:tcPr>
            <w:tcW w:type="dxa" w:w="1881"/>
          </w:tcPr>
          <w:p>
            <w:r>
              <w:t>102361.7</w:t>
            </w:r>
          </w:p>
        </w:tc>
        <w:tc>
          <w:tcPr>
            <w:tcW w:type="dxa" w:w="1881"/>
          </w:tcPr>
          <w:p>
            <w:r>
              <w:t>0.6483</w:t>
            </w:r>
          </w:p>
        </w:tc>
      </w:tr>
    </w:tbl>
    <w:p>
      <w:pPr>
        <w:pStyle w:val="Caption"/>
      </w:pPr>
      <w:r>
        <w:t>★ Modèle retenu en production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119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11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 — Comparaison des métriques par algorithme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56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5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 — Silhouette Score par k (UMAP + KMeans)</w:t>
      </w:r>
    </w:p>
    <w:p>
      <w:r>
        <w:br w:type="page"/>
      </w:r>
    </w:p>
    <w:p>
      <w:pPr>
        <w:pStyle w:val="Heading1"/>
      </w:pPr>
      <w:r>
        <w:rPr>
          <w:color w:val="1F3864"/>
        </w:rPr>
        <w:t>3. Modèle Final — UMAP + KMeans k=4</w:t>
      </w:r>
    </w:p>
    <w:p/>
    <w:p>
      <w:pPr>
        <w:pStyle w:val="Heading2"/>
      </w:pPr>
      <w:r>
        <w:rPr>
          <w:color w:val="2E75B6"/>
        </w:rPr>
        <w:t>Métriques de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Métrique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Valeur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Interprétation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Seuil de référence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Silhouette Score</w:t>
            </w:r>
          </w:p>
        </w:tc>
        <w:tc>
          <w:tcPr>
            <w:tcW w:type="dxa" w:w="2351"/>
          </w:tcPr>
          <w:p>
            <w:r>
              <w:t>0.449</w:t>
            </w:r>
          </w:p>
        </w:tc>
        <w:tc>
          <w:tcPr>
            <w:tcW w:type="dxa" w:w="2351"/>
          </w:tcPr>
          <w:p>
            <w:r>
              <w:t>Clusters denses et bien séparés</w:t>
            </w:r>
          </w:p>
        </w:tc>
        <w:tc>
          <w:tcPr>
            <w:tcW w:type="dxa" w:w="2351"/>
          </w:tcPr>
          <w:p>
            <w:r>
              <w:t>&gt; 0.25 = bon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Davies-Bouldin</w:t>
            </w:r>
          </w:p>
        </w:tc>
        <w:tc>
          <w:tcPr>
            <w:tcW w:type="dxa" w:w="2351"/>
          </w:tcPr>
          <w:p>
            <w:r>
              <w:t>0.737</w:t>
            </w:r>
          </w:p>
        </w:tc>
        <w:tc>
          <w:tcPr>
            <w:tcW w:type="dxa" w:w="2351"/>
          </w:tcPr>
          <w:p>
            <w:r>
              <w:t>Faible chevauchement inter-clusters</w:t>
            </w:r>
          </w:p>
        </w:tc>
        <w:tc>
          <w:tcPr>
            <w:tcW w:type="dxa" w:w="2351"/>
          </w:tcPr>
          <w:p>
            <w:r>
              <w:t>&lt; 1.0 = bon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Calinski-Harabasz</w:t>
            </w:r>
          </w:p>
        </w:tc>
        <w:tc>
          <w:tcPr>
            <w:tcW w:type="dxa" w:w="2351"/>
          </w:tcPr>
          <w:p>
            <w:r>
              <w:t>92 506</w:t>
            </w:r>
          </w:p>
        </w:tc>
        <w:tc>
          <w:tcPr>
            <w:tcW w:type="dxa" w:w="2351"/>
          </w:tcPr>
          <w:p>
            <w:r>
              <w:t>Clusters compacts vs. bien dispersés</w:t>
            </w:r>
          </w:p>
        </w:tc>
        <w:tc>
          <w:tcPr>
            <w:tcW w:type="dxa" w:w="2351"/>
          </w:tcPr>
          <w:p>
            <w:r>
              <w:t>Plus élevé = mieux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Nb de segments</w:t>
            </w:r>
          </w:p>
        </w:tc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Contrainte métier : 4 à 6 segments</w:t>
            </w:r>
          </w:p>
        </w:tc>
        <w:tc>
          <w:tcPr>
            <w:tcW w:type="dxa" w:w="2351"/>
          </w:tcPr>
          <w:p>
            <w:r>
              <w:t>4–6 segments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Clients couverts</w:t>
            </w:r>
          </w:p>
        </w:tc>
        <w:tc>
          <w:tcPr>
            <w:tcW w:type="dxa" w:w="2351"/>
          </w:tcPr>
          <w:p>
            <w:r>
              <w:t>75 937</w:t>
            </w:r>
          </w:p>
        </w:tc>
        <w:tc>
          <w:tcPr>
            <w:tcW w:type="dxa" w:w="2351"/>
          </w:tcPr>
          <w:p>
            <w:r>
              <w:t>100% des clients labellisés</w:t>
            </w:r>
          </w:p>
        </w:tc>
        <w:tc>
          <w:tcPr>
            <w:tcW w:type="dxa" w:w="2351"/>
          </w:tcPr>
          <w:p>
            <w:r>
              <w:t>—</w:t>
            </w:r>
          </w:p>
        </w:tc>
      </w:tr>
    </w:tbl>
    <w:p/>
    <w:p>
      <w:pPr>
        <w:pStyle w:val="Heading1"/>
      </w:pPr>
      <w:r>
        <w:rPr>
          <w:color w:val="1F3864"/>
        </w:rPr>
        <w:t>4. Profil des 4 Segments</w:t>
      </w:r>
    </w:p>
    <w:p/>
    <w:p>
      <w:r>
        <w:t>Chaque segment est décrit par ses médianes sur les features brutes (non normalisées), permettant une interprétation directe en unités métier (jours, BRL, score).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Clients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Part (%)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Récence (j)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Monetary (BRL)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Ratio Fret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Délai Livr. (j)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 Avis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CLV Proxy (BRL)</w:t>
            </w:r>
          </w:p>
        </w:tc>
      </w:tr>
      <w:tr>
        <w:tc>
          <w:tcPr>
            <w:tcW w:type="dxa" w:w="1045"/>
            <w:shd w:val="clear" w:color="auto" w:fill="60a5fa"/>
          </w:tcPr>
          <w:p>
            <w:r>
              <w:rPr>
                <w:b/>
              </w:rPr>
              <w:t>🛒 Acheteurs Budget</w:t>
            </w:r>
          </w:p>
        </w:tc>
        <w:tc>
          <w:tcPr>
            <w:tcW w:type="dxa" w:w="1045"/>
          </w:tcPr>
          <w:p>
            <w:r>
              <w:t>21,146</w:t>
            </w:r>
          </w:p>
        </w:tc>
        <w:tc>
          <w:tcPr>
            <w:tcW w:type="dxa" w:w="1045"/>
          </w:tcPr>
          <w:p>
            <w:r>
              <w:t>27.9%</w:t>
            </w:r>
          </w:p>
        </w:tc>
        <w:tc>
          <w:tcPr>
            <w:tcW w:type="dxa" w:w="1045"/>
          </w:tcPr>
          <w:p>
            <w:r>
              <w:t>124</w:t>
            </w:r>
          </w:p>
        </w:tc>
        <w:tc>
          <w:tcPr>
            <w:tcW w:type="dxa" w:w="1045"/>
          </w:tcPr>
          <w:p>
            <w:r>
              <w:t>64</w:t>
            </w:r>
          </w:p>
        </w:tc>
        <w:tc>
          <w:tcPr>
            <w:tcW w:type="dxa" w:w="1045"/>
          </w:tcPr>
          <w:p>
            <w:r>
              <w:t>0.328</w:t>
            </w:r>
          </w:p>
        </w:tc>
        <w:tc>
          <w:tcPr>
            <w:tcW w:type="dxa" w:w="1045"/>
          </w:tcPr>
          <w:p>
            <w:r>
              <w:t>-11.1</w:t>
            </w:r>
          </w:p>
        </w:tc>
        <w:tc>
          <w:tcPr>
            <w:tcW w:type="dxa" w:w="1045"/>
          </w:tcPr>
          <w:p>
            <w:r>
              <w:t>5.0</w:t>
            </w:r>
          </w:p>
        </w:tc>
        <w:tc>
          <w:tcPr>
            <w:tcW w:type="dxa" w:w="1045"/>
          </w:tcPr>
          <w:p>
            <w:r>
              <w:t>64</w:t>
            </w:r>
          </w:p>
        </w:tc>
      </w:tr>
      <w:tr>
        <w:tc>
          <w:tcPr>
            <w:tcW w:type="dxa" w:w="1045"/>
            <w:shd w:val="clear" w:color="auto" w:fill="94a3b8"/>
          </w:tcPr>
          <w:p>
            <w:r>
              <w:rPr>
                <w:b/>
              </w:rPr>
              <w:t>⏳ Dormants Budget</w:t>
            </w:r>
          </w:p>
        </w:tc>
        <w:tc>
          <w:tcPr>
            <w:tcW w:type="dxa" w:w="1045"/>
          </w:tcPr>
          <w:p>
            <w:r>
              <w:t>18,775</w:t>
            </w:r>
          </w:p>
        </w:tc>
        <w:tc>
          <w:tcPr>
            <w:tcW w:type="dxa" w:w="1045"/>
          </w:tcPr>
          <w:p>
            <w:r>
              <w:t>24.7%</w:t>
            </w:r>
          </w:p>
        </w:tc>
        <w:tc>
          <w:tcPr>
            <w:tcW w:type="dxa" w:w="1045"/>
          </w:tcPr>
          <w:p>
            <w:r>
              <w:t>292</w:t>
            </w:r>
          </w:p>
        </w:tc>
        <w:tc>
          <w:tcPr>
            <w:tcW w:type="dxa" w:w="1045"/>
          </w:tcPr>
          <w:p>
            <w:r>
              <w:t>72</w:t>
            </w:r>
          </w:p>
        </w:tc>
        <w:tc>
          <w:tcPr>
            <w:tcW w:type="dxa" w:w="1045"/>
          </w:tcPr>
          <w:p>
            <w:r>
              <w:t>0.281</w:t>
            </w:r>
          </w:p>
        </w:tc>
        <w:tc>
          <w:tcPr>
            <w:tcW w:type="dxa" w:w="1045"/>
          </w:tcPr>
          <w:p>
            <w:r>
              <w:t>-12.0</w:t>
            </w:r>
          </w:p>
        </w:tc>
        <w:tc>
          <w:tcPr>
            <w:tcW w:type="dxa" w:w="1045"/>
          </w:tcPr>
          <w:p>
            <w:r>
              <w:t>5.0</w:t>
            </w:r>
          </w:p>
        </w:tc>
        <w:tc>
          <w:tcPr>
            <w:tcW w:type="dxa" w:w="1045"/>
          </w:tcPr>
          <w:p>
            <w:r>
              <w:t>72</w:t>
            </w:r>
          </w:p>
        </w:tc>
      </w:tr>
      <w:tr>
        <w:tc>
          <w:tcPr>
            <w:tcW w:type="dxa" w:w="1045"/>
            <w:shd w:val="clear" w:color="auto" w:fill="a78bfa"/>
          </w:tcPr>
          <w:p>
            <w:r>
              <w:rPr>
                <w:b/>
              </w:rPr>
              <w:t>⭐ Acheteurs Premium</w:t>
            </w:r>
          </w:p>
        </w:tc>
        <w:tc>
          <w:tcPr>
            <w:tcW w:type="dxa" w:w="1045"/>
          </w:tcPr>
          <w:p>
            <w:r>
              <w:t>18,546</w:t>
            </w:r>
          </w:p>
        </w:tc>
        <w:tc>
          <w:tcPr>
            <w:tcW w:type="dxa" w:w="1045"/>
          </w:tcPr>
          <w:p>
            <w:r>
              <w:t>24.4%</w:t>
            </w:r>
          </w:p>
        </w:tc>
        <w:tc>
          <w:tcPr>
            <w:tcW w:type="dxa" w:w="1045"/>
          </w:tcPr>
          <w:p>
            <w:r>
              <w:t>131</w:t>
            </w:r>
          </w:p>
        </w:tc>
        <w:tc>
          <w:tcPr>
            <w:tcW w:type="dxa" w:w="1045"/>
          </w:tcPr>
          <w:p>
            <w:r>
              <w:t>180</w:t>
            </w:r>
          </w:p>
        </w:tc>
        <w:tc>
          <w:tcPr>
            <w:tcW w:type="dxa" w:w="1045"/>
          </w:tcPr>
          <w:p>
            <w:r>
              <w:t>0.142</w:t>
            </w:r>
          </w:p>
        </w:tc>
        <w:tc>
          <w:tcPr>
            <w:tcW w:type="dxa" w:w="1045"/>
          </w:tcPr>
          <w:p>
            <w:r>
              <w:t>-12.2</w:t>
            </w:r>
          </w:p>
        </w:tc>
        <w:tc>
          <w:tcPr>
            <w:tcW w:type="dxa" w:w="1045"/>
          </w:tcPr>
          <w:p>
            <w:r>
              <w:t>5.0</w:t>
            </w:r>
          </w:p>
        </w:tc>
        <w:tc>
          <w:tcPr>
            <w:tcW w:type="dxa" w:w="1045"/>
          </w:tcPr>
          <w:p>
            <w:r>
              <w:t>180</w:t>
            </w:r>
          </w:p>
        </w:tc>
      </w:tr>
      <w:tr>
        <w:tc>
          <w:tcPr>
            <w:tcW w:type="dxa" w:w="1045"/>
            <w:shd w:val="clear" w:color="auto" w:fill="2dd4bf"/>
          </w:tcPr>
          <w:p>
            <w:r>
              <w:rPr>
                <w:b/>
              </w:rPr>
              <w:t>🌙 Dormants Premium</w:t>
            </w:r>
          </w:p>
        </w:tc>
        <w:tc>
          <w:tcPr>
            <w:tcW w:type="dxa" w:w="1045"/>
          </w:tcPr>
          <w:p>
            <w:r>
              <w:t>17,470</w:t>
            </w:r>
          </w:p>
        </w:tc>
        <w:tc>
          <w:tcPr>
            <w:tcW w:type="dxa" w:w="1045"/>
          </w:tcPr>
          <w:p>
            <w:r>
              <w:t>23.0%</w:t>
            </w:r>
          </w:p>
        </w:tc>
        <w:tc>
          <w:tcPr>
            <w:tcW w:type="dxa" w:w="1045"/>
          </w:tcPr>
          <w:p>
            <w:r>
              <w:t>367</w:t>
            </w:r>
          </w:p>
        </w:tc>
        <w:tc>
          <w:tcPr>
            <w:tcW w:type="dxa" w:w="1045"/>
          </w:tcPr>
          <w:p>
            <w:r>
              <w:t>160</w:t>
            </w:r>
          </w:p>
        </w:tc>
        <w:tc>
          <w:tcPr>
            <w:tcW w:type="dxa" w:w="1045"/>
          </w:tcPr>
          <w:p>
            <w:r>
              <w:t>0.151</w:t>
            </w:r>
          </w:p>
        </w:tc>
        <w:tc>
          <w:tcPr>
            <w:tcW w:type="dxa" w:w="1045"/>
          </w:tcPr>
          <w:p>
            <w:r>
              <w:t>-12.2</w:t>
            </w:r>
          </w:p>
        </w:tc>
        <w:tc>
          <w:tcPr>
            <w:tcW w:type="dxa" w:w="1045"/>
          </w:tcPr>
          <w:p>
            <w:r>
              <w:t>5.0</w:t>
            </w:r>
          </w:p>
        </w:tc>
        <w:tc>
          <w:tcPr>
            <w:tcW w:type="dxa" w:w="1045"/>
          </w:tcPr>
          <w:p>
            <w:r>
              <w:t>160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348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34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 — Distribution des 4 segments clients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716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71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 — Heatmap des profils par segment (valeurs brutes)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672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67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5 — Radar chart multi-dimensionnel des segments</w:t>
      </w:r>
    </w:p>
    <w:p/>
    <w:p>
      <w:pPr>
        <w:pStyle w:val="Heading1"/>
      </w:pPr>
      <w:r>
        <w:rPr>
          <w:color w:val="1F3864"/>
        </w:rPr>
        <w:t>5. Interprétation Métier &amp; Recommandations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Clients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Part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Récence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Monetary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Recommandation Marketing</w:t>
            </w:r>
          </w:p>
        </w:tc>
      </w:tr>
      <w:tr>
        <w:tc>
          <w:tcPr>
            <w:tcW w:type="dxa" w:w="1568"/>
          </w:tcPr>
          <w:p>
            <w:r>
              <w:rPr>
                <w:b/>
              </w:rPr>
              <w:t>🛒 Acheteurs Budget</w:t>
            </w:r>
          </w:p>
        </w:tc>
        <w:tc>
          <w:tcPr>
            <w:tcW w:type="dxa" w:w="1568"/>
          </w:tcPr>
          <w:p>
            <w:r>
              <w:t>21 146</w:t>
            </w:r>
          </w:p>
        </w:tc>
        <w:tc>
          <w:tcPr>
            <w:tcW w:type="dxa" w:w="1568"/>
          </w:tcPr>
          <w:p>
            <w:r>
              <w:t>27.85%</w:t>
            </w:r>
          </w:p>
        </w:tc>
        <w:tc>
          <w:tcPr>
            <w:tcW w:type="dxa" w:w="1568"/>
          </w:tcPr>
          <w:p>
            <w:r>
              <w:t>124j</w:t>
            </w:r>
          </w:p>
        </w:tc>
        <w:tc>
          <w:tcPr>
            <w:tcW w:type="dxa" w:w="1568"/>
          </w:tcPr>
          <w:p>
            <w:r>
              <w:t>64 BRL</w:t>
            </w:r>
          </w:p>
        </w:tc>
        <w:tc>
          <w:tcPr>
            <w:tcW w:type="dxa" w:w="1568"/>
          </w:tcPr>
          <w:p>
            <w:r>
              <w:t>Clients récents à faible panier. Volume important. Action : cross-sell, offres groupées, fidélisation par email.</w:t>
            </w:r>
          </w:p>
        </w:tc>
      </w:tr>
      <w:tr>
        <w:tc>
          <w:tcPr>
            <w:tcW w:type="dxa" w:w="1568"/>
          </w:tcPr>
          <w:p>
            <w:r>
              <w:rPr>
                <w:b/>
              </w:rPr>
              <w:t>⏳ Dormants Budget</w:t>
            </w:r>
          </w:p>
        </w:tc>
        <w:tc>
          <w:tcPr>
            <w:tcW w:type="dxa" w:w="1568"/>
          </w:tcPr>
          <w:p>
            <w:r>
              <w:t>18 775</w:t>
            </w:r>
          </w:p>
        </w:tc>
        <w:tc>
          <w:tcPr>
            <w:tcW w:type="dxa" w:w="1568"/>
          </w:tcPr>
          <w:p>
            <w:r>
              <w:t>24.72%</w:t>
            </w:r>
          </w:p>
        </w:tc>
        <w:tc>
          <w:tcPr>
            <w:tcW w:type="dxa" w:w="1568"/>
          </w:tcPr>
          <w:p>
            <w:r>
              <w:t>292j</w:t>
            </w:r>
          </w:p>
        </w:tc>
        <w:tc>
          <w:tcPr>
            <w:tcW w:type="dxa" w:w="1568"/>
          </w:tcPr>
          <w:p>
            <w:r>
              <w:t>72 BRL</w:t>
            </w:r>
          </w:p>
        </w:tc>
        <w:tc>
          <w:tcPr>
            <w:tcW w:type="dxa" w:w="1568"/>
          </w:tcPr>
          <w:p>
            <w:r>
              <w:t>Clients inactifs à faible valeur. Action : réactivation low-cost (push notification, coupon -10%).</w:t>
            </w:r>
          </w:p>
        </w:tc>
      </w:tr>
      <w:tr>
        <w:tc>
          <w:tcPr>
            <w:tcW w:type="dxa" w:w="1568"/>
          </w:tcPr>
          <w:p>
            <w:r>
              <w:rPr>
                <w:b/>
              </w:rPr>
              <w:t>⭐ Acheteurs Premium</w:t>
            </w:r>
          </w:p>
        </w:tc>
        <w:tc>
          <w:tcPr>
            <w:tcW w:type="dxa" w:w="1568"/>
          </w:tcPr>
          <w:p>
            <w:r>
              <w:t>18 546</w:t>
            </w:r>
          </w:p>
        </w:tc>
        <w:tc>
          <w:tcPr>
            <w:tcW w:type="dxa" w:w="1568"/>
          </w:tcPr>
          <w:p>
            <w:r>
              <w:t>24.42%</w:t>
            </w:r>
          </w:p>
        </w:tc>
        <w:tc>
          <w:tcPr>
            <w:tcW w:type="dxa" w:w="1568"/>
          </w:tcPr>
          <w:p>
            <w:r>
              <w:t>131j</w:t>
            </w:r>
          </w:p>
        </w:tc>
        <w:tc>
          <w:tcPr>
            <w:tcW w:type="dxa" w:w="1568"/>
          </w:tcPr>
          <w:p>
            <w:r>
              <w:t>180 BRL</w:t>
            </w:r>
          </w:p>
        </w:tc>
        <w:tc>
          <w:tcPr>
            <w:tcW w:type="dxa" w:w="1568"/>
          </w:tcPr>
          <w:p>
            <w:r>
              <w:t>Clients récents à fort panier. Fort potentiel CLV. Action : programme VIP, upsell, recommandations personnalisées.</w:t>
            </w:r>
          </w:p>
        </w:tc>
      </w:tr>
      <w:tr>
        <w:tc>
          <w:tcPr>
            <w:tcW w:type="dxa" w:w="1568"/>
          </w:tcPr>
          <w:p>
            <w:r>
              <w:rPr>
                <w:b/>
              </w:rPr>
              <w:t>🌙 Dormants Premium</w:t>
            </w:r>
          </w:p>
        </w:tc>
        <w:tc>
          <w:tcPr>
            <w:tcW w:type="dxa" w:w="1568"/>
          </w:tcPr>
          <w:p>
            <w:r>
              <w:t>17 470</w:t>
            </w:r>
          </w:p>
        </w:tc>
        <w:tc>
          <w:tcPr>
            <w:tcW w:type="dxa" w:w="1568"/>
          </w:tcPr>
          <w:p>
            <w:r>
              <w:t>23.01%</w:t>
            </w:r>
          </w:p>
        </w:tc>
        <w:tc>
          <w:tcPr>
            <w:tcW w:type="dxa" w:w="1568"/>
          </w:tcPr>
          <w:p>
            <w:r>
              <w:t>367j</w:t>
            </w:r>
          </w:p>
        </w:tc>
        <w:tc>
          <w:tcPr>
            <w:tcW w:type="dxa" w:w="1568"/>
          </w:tcPr>
          <w:p>
            <w:r>
              <w:t>160 BRL</w:t>
            </w:r>
          </w:p>
        </w:tc>
        <w:tc>
          <w:tcPr>
            <w:tcW w:type="dxa" w:w="1568"/>
          </w:tcPr>
          <w:p>
            <w:r>
              <w:t>Inactifs à valeur prouvée. Priorité de réactivation. Action : offre exclusive, campagne win-back personnalisée.</w:t>
            </w:r>
          </w:p>
        </w:tc>
      </w:tr>
    </w:tbl>
    <w:p/>
    <w:p>
      <w:pPr>
        <w:pStyle w:val="Heading1"/>
      </w:pPr>
      <w:r>
        <w:rPr>
          <w:color w:val="1F3864"/>
        </w:rPr>
        <w:t>6. Variables du Modèle</w:t>
      </w:r>
    </w:p>
    <w:p/>
    <w:p>
      <w:pPr>
        <w:pStyle w:val="Heading2"/>
      </w:pPr>
      <w:r>
        <w:rPr>
          <w:color w:val="2E75B6"/>
        </w:rPr>
        <w:t>Variables utilisées pour le clustering (RFM pur — 3 features)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Construction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Recency</w:t>
            </w:r>
          </w:p>
        </w:tc>
        <w:tc>
          <w:tcPr>
            <w:tcW w:type="dxa" w:w="3135"/>
          </w:tcPr>
          <w:p>
            <w:r>
              <w:t>Jours depuis le dernier achat</w:t>
            </w:r>
          </w:p>
        </w:tc>
        <w:tc>
          <w:tcPr>
            <w:tcW w:type="dxa" w:w="3135"/>
          </w:tcPr>
          <w:p>
            <w:r>
              <w:t>max_date - last_purchase_date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3135"/>
          </w:tcPr>
          <w:p>
            <w:r>
              <w:t>Nombre total de commandes</w:t>
            </w:r>
          </w:p>
        </w:tc>
        <w:tc>
          <w:tcPr>
            <w:tcW w:type="dxa" w:w="3135"/>
          </w:tcPr>
          <w:p>
            <w:r>
              <w:t>count(order_id) par client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Monetary</w:t>
            </w:r>
          </w:p>
        </w:tc>
        <w:tc>
          <w:tcPr>
            <w:tcW w:type="dxa" w:w="3135"/>
          </w:tcPr>
          <w:p>
            <w:r>
              <w:t>Montant total dépensé (BRL)</w:t>
            </w:r>
          </w:p>
        </w:tc>
        <w:tc>
          <w:tcPr>
            <w:tcW w:type="dxa" w:w="3135"/>
          </w:tcPr>
          <w:p>
            <w:r>
              <w:t>sum(price + freight_value)</w:t>
            </w:r>
          </w:p>
        </w:tc>
      </w:tr>
    </w:tbl>
    <w:p/>
    <w:p>
      <w:pPr>
        <w:pStyle w:val="Heading2"/>
      </w:pPr>
      <w:r>
        <w:rPr>
          <w:color w:val="2E75B6"/>
        </w:rPr>
        <w:t>Variables de profil segment (non utilisées pour le clustering)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Usage dashboard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avg_review_score</w:t>
            </w:r>
          </w:p>
        </w:tc>
        <w:tc>
          <w:tcPr>
            <w:tcW w:type="dxa" w:w="3135"/>
          </w:tcPr>
          <w:p>
            <w:r>
              <w:t>Note satisfaction moyenne (1–5)</w:t>
            </w:r>
          </w:p>
        </w:tc>
        <w:tc>
          <w:tcPr>
            <w:tcW w:type="dxa" w:w="3135"/>
          </w:tcPr>
          <w:p>
            <w:r>
              <w:t>Indicateur de fidélisabilité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avg_freight_ratio</w:t>
            </w:r>
          </w:p>
        </w:tc>
        <w:tc>
          <w:tcPr>
            <w:tcW w:type="dxa" w:w="3135"/>
          </w:tcPr>
          <w:p>
            <w:r>
              <w:t>Frais de port / valeur commande</w:t>
            </w:r>
          </w:p>
        </w:tc>
        <w:tc>
          <w:tcPr>
            <w:tcW w:type="dxa" w:w="3135"/>
          </w:tcPr>
          <w:p>
            <w:r>
              <w:t>Levier promo livraison gratuite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avg_delivery_delay</w:t>
            </w:r>
          </w:p>
        </w:tc>
        <w:tc>
          <w:tcPr>
            <w:tcW w:type="dxa" w:w="3135"/>
          </w:tcPr>
          <w:p>
            <w:r>
              <w:t>Écart livraison estimée vs. réelle (j)</w:t>
            </w:r>
          </w:p>
        </w:tc>
        <w:tc>
          <w:tcPr>
            <w:tcW w:type="dxa" w:w="3135"/>
          </w:tcPr>
          <w:p>
            <w:r>
              <w:t>Action SAV si délai élevé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payment_type_cc_flag</w:t>
            </w:r>
          </w:p>
        </w:tc>
        <w:tc>
          <w:tcPr>
            <w:tcW w:type="dxa" w:w="3135"/>
          </w:tcPr>
          <w:p>
            <w:r>
              <w:t>1 = carte crédit dominante</w:t>
            </w:r>
          </w:p>
        </w:tc>
        <w:tc>
          <w:tcPr>
            <w:tcW w:type="dxa" w:w="3135"/>
          </w:tcPr>
          <w:p>
            <w:r>
              <w:t>Proxy niveau de revenu → ciblage ads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avg_installments</w:t>
            </w:r>
          </w:p>
        </w:tc>
        <w:tc>
          <w:tcPr>
            <w:tcW w:type="dxa" w:w="3135"/>
          </w:tcPr>
          <w:p>
            <w:r>
              <w:t>Nb moyen de versements</w:t>
            </w:r>
          </w:p>
        </w:tc>
        <w:tc>
          <w:tcPr>
            <w:tcW w:type="dxa" w:w="3135"/>
          </w:tcPr>
          <w:p>
            <w:r>
              <w:t>Adapter les offres de crédit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region_freight_score</w:t>
            </w:r>
          </w:p>
        </w:tc>
        <w:tc>
          <w:tcPr>
            <w:tcW w:type="dxa" w:w="3135"/>
          </w:tcPr>
          <w:p>
            <w:r>
              <w:t>Score logistique régional (1=Sul→5=Norte)</w:t>
            </w:r>
          </w:p>
        </w:tc>
        <w:tc>
          <w:tcPr>
            <w:tcW w:type="dxa" w:w="3135"/>
          </w:tcPr>
          <w:p>
            <w:r>
              <w:t>Ciblage géographique campagnes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category_tier_encoded</w:t>
            </w:r>
          </w:p>
        </w:tc>
        <w:tc>
          <w:tcPr>
            <w:tcW w:type="dxa" w:w="3135"/>
          </w:tcPr>
          <w:p>
            <w:r>
              <w:t>Macro-segment produit dominant</w:t>
            </w:r>
          </w:p>
        </w:tc>
        <w:tc>
          <w:tcPr>
            <w:tcW w:type="dxa" w:w="3135"/>
          </w:tcPr>
          <w:p>
            <w:r>
              <w:t>Recommandations produits (Section 9b)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