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2" w:line="240" w:lineRule="auto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 xml:space="preserve">Insider Dealing V4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Validation Report Summary</w:t>
      </w:r>
    </w:p>
    <w:p>
      <w:pPr>
        <w:pStyle w:val="Default"/>
        <w:suppressAutoHyphens w:val="1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1. Objective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The objective of the Insider Dealing V4 metric is to identify trading activity that suggests a trader acted on </w:t>
      </w:r>
      <w:r>
        <w:rPr>
          <w:rFonts w:ascii="Times Roman" w:hAnsi="Times Roman"/>
          <w:b w:val="1"/>
          <w:bCs w:val="1"/>
          <w:rtl w:val="0"/>
          <w:lang w:val="en-US"/>
        </w:rPr>
        <w:t>Material Non-Public Information (MNPI)</w:t>
      </w:r>
      <w:r>
        <w:rPr>
          <w:rFonts w:ascii="Times Roman" w:hAnsi="Times Roman"/>
          <w:rtl w:val="0"/>
          <w:lang w:val="en-US"/>
        </w:rPr>
        <w:t xml:space="preserve"> ahead of a significant price-moving event.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The model flags cases where: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A trader builds or exits a position </w:t>
      </w:r>
      <w:r>
        <w:rPr>
          <w:rFonts w:ascii="Times Roman" w:hAnsi="Times Roman"/>
          <w:b w:val="1"/>
          <w:bCs w:val="1"/>
          <w:rtl w:val="0"/>
          <w:lang w:val="en-US"/>
        </w:rPr>
        <w:t>before a significant price shock</w:t>
      </w:r>
      <w:r>
        <w:rPr>
          <w:rFonts w:ascii="Times Roman" w:hAnsi="Times Roman"/>
          <w:rtl w:val="0"/>
          <w:lang w:val="en-US"/>
        </w:rPr>
        <w:t>, and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resulting change in position would likely generate a financial benefit or avoid a financial loss if the trader had access to MNPI.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metric aims to differentiate normal trading from suspicious pre-event positioning by comparing actual trade behavior against expected behavior based on market risk, event significance, and trade timing.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2. Simple Working Example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Example Scenario (Simplified)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 trader is aware (non-publicly) that Company X will report highly positive earnings after market close.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Prior to the announcement, Company X</w:t>
      </w:r>
      <w:r>
        <w:rPr>
          <w:rFonts w:ascii="Times Roman" w:hAnsi="Times Roman" w:hint="default"/>
          <w:rtl w:val="0"/>
          <w:lang w:val="en-US"/>
        </w:rPr>
        <w:t>’</w:t>
      </w:r>
      <w:r>
        <w:rPr>
          <w:rFonts w:ascii="Times Roman" w:hAnsi="Times Roman"/>
          <w:rtl w:val="0"/>
          <w:lang w:val="en-US"/>
        </w:rPr>
        <w:t xml:space="preserve">s stock trades at </w:t>
      </w:r>
      <w:r>
        <w:rPr>
          <w:rFonts w:ascii="Times Roman" w:hAnsi="Times Roman"/>
          <w:b w:val="1"/>
          <w:bCs w:val="1"/>
          <w:rtl w:val="0"/>
          <w:lang w:val="en-US"/>
        </w:rPr>
        <w:t>$50</w:t>
      </w:r>
      <w:r>
        <w:rPr>
          <w:rFonts w:ascii="Times Roman" w:hAnsi="Times Roman"/>
          <w:rtl w:val="0"/>
          <w:lang w:val="en-US"/>
        </w:rPr>
        <w:t xml:space="preserve"> with stable volatility.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One hour before the public announcement, the trader buys </w:t>
      </w:r>
      <w:r>
        <w:rPr>
          <w:rFonts w:ascii="Times Roman" w:hAnsi="Times Roman"/>
          <w:b w:val="1"/>
          <w:bCs w:val="1"/>
          <w:rtl w:val="0"/>
          <w:lang w:val="en-US"/>
        </w:rPr>
        <w:t>20,000 shares</w:t>
      </w:r>
      <w:r>
        <w:rPr>
          <w:rFonts w:ascii="Times Roman" w:hAnsi="Times Roman"/>
          <w:rtl w:val="0"/>
          <w:lang w:val="en-US"/>
        </w:rPr>
        <w:t xml:space="preserve"> at $50.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When the earnings announcement is released, the stock price jumps to </w:t>
      </w:r>
      <w:r>
        <w:rPr>
          <w:rFonts w:ascii="Times Roman" w:hAnsi="Times Roman"/>
          <w:b w:val="1"/>
          <w:bCs w:val="1"/>
          <w:rtl w:val="0"/>
          <w:lang w:val="en-US"/>
        </w:rPr>
        <w:t>$57</w:t>
      </w:r>
      <w:r>
        <w:rPr>
          <w:rFonts w:ascii="Times Roman" w:hAnsi="Times Roman"/>
          <w:rtl w:val="0"/>
          <w:lang w:val="en-US"/>
        </w:rPr>
        <w:t xml:space="preserve"> (a +14% event-size shock).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After the event, the trader sells the entire 20,000-share position at $57, realizing a </w:t>
      </w:r>
      <w:r>
        <w:rPr>
          <w:rFonts w:ascii="Times Roman" w:hAnsi="Times Roman"/>
          <w:b w:val="1"/>
          <w:bCs w:val="1"/>
          <w:rtl w:val="0"/>
          <w:lang w:val="en-US"/>
        </w:rPr>
        <w:t>$140,000 profit</w:t>
      </w:r>
      <w:r>
        <w:rPr>
          <w:rFonts w:ascii="Times Roman" w:hAnsi="Times Roman"/>
          <w:rtl w:val="0"/>
          <w:lang w:val="en-US"/>
        </w:rPr>
        <w:t xml:space="preserve"> attributable to the prior build-up of market risk.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Why this is suspicious: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The price jump exceeds the volatility threshold, qualifying as a </w:t>
      </w:r>
      <w:r>
        <w:rPr>
          <w:rFonts w:ascii="Times Roman" w:hAnsi="Times Roman" w:hint="default"/>
          <w:rtl w:val="0"/>
          <w:lang w:val="en-US"/>
        </w:rPr>
        <w:t>“</w:t>
      </w:r>
      <w:r>
        <w:rPr>
          <w:rFonts w:ascii="Times Roman" w:hAnsi="Times Roman"/>
          <w:rtl w:val="0"/>
          <w:lang w:val="en-US"/>
        </w:rPr>
        <w:t>significant event.</w:t>
      </w:r>
      <w:r>
        <w:rPr>
          <w:rFonts w:ascii="Times Roman" w:hAnsi="Times Roman" w:hint="default"/>
          <w:rtl w:val="0"/>
          <w:lang w:val="en-US"/>
        </w:rPr>
        <w:t>”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trader accumulated a meaningful position immediately prior to the event, generating a large positive Narrative.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There is no legitimate Counter-Narrative (e.g., diversified risk reduction) that explains the behavior.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Insider Dealing V4 metric would produce a high materiality score, indicating a potential MNPI-driven trade.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3. Component Models Used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Insider Dealing V4 relies on the following internal components: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Event Detector</w:t>
      </w:r>
      <w:r>
        <w:rPr>
          <w:rFonts w:ascii="Times Roman" w:hAnsi="Times Roman" w:hint="default"/>
          <w:rtl w:val="0"/>
          <w:lang w:val="en-US"/>
        </w:rPr>
        <w:t xml:space="preserve"> – </w:t>
      </w:r>
      <w:r>
        <w:rPr>
          <w:rFonts w:ascii="Times Roman" w:hAnsi="Times Roman"/>
          <w:rtl w:val="0"/>
          <w:lang w:val="en-US"/>
        </w:rPr>
        <w:t>Identifies significant price-moving events by analyzing deviations of price changes relative to instrument-specific volatility thresholds.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GMM (Gaussian Mixture Model)</w:t>
      </w:r>
      <w:r>
        <w:rPr>
          <w:rFonts w:ascii="Times Roman" w:hAnsi="Times Roman" w:hint="default"/>
          <w:rtl w:val="0"/>
          <w:lang w:val="en-US"/>
        </w:rPr>
        <w:t xml:space="preserve"> – </w:t>
      </w:r>
      <w:r>
        <w:rPr>
          <w:rFonts w:ascii="Times Roman" w:hAnsi="Times Roman"/>
          <w:rtl w:val="0"/>
          <w:lang w:val="en-US"/>
        </w:rPr>
        <w:t xml:space="preserve">Decomposes pre-event trade data into </w:t>
      </w:r>
      <w:r>
        <w:rPr>
          <w:rFonts w:ascii="Times Roman" w:hAnsi="Times Roman"/>
          <w:b w:val="1"/>
          <w:bCs w:val="1"/>
          <w:rtl w:val="0"/>
          <w:lang w:val="en-US"/>
        </w:rPr>
        <w:t>Market Risk Building</w:t>
      </w:r>
      <w:r>
        <w:rPr>
          <w:rFonts w:ascii="Times Roman" w:hAnsi="Times Roman"/>
          <w:rtl w:val="0"/>
          <w:lang w:val="en-US"/>
        </w:rPr>
        <w:t xml:space="preserve"> vs </w:t>
      </w:r>
      <w:r>
        <w:rPr>
          <w:rFonts w:ascii="Times Roman" w:hAnsi="Times Roman"/>
          <w:b w:val="1"/>
          <w:bCs w:val="1"/>
          <w:rtl w:val="0"/>
          <w:lang w:val="en-US"/>
        </w:rPr>
        <w:t>Market Risk Flat</w:t>
      </w:r>
      <w:r>
        <w:rPr>
          <w:rFonts w:ascii="Times Roman" w:hAnsi="Times Roman"/>
          <w:rtl w:val="0"/>
          <w:lang w:val="en-US"/>
        </w:rPr>
        <w:t xml:space="preserve"> components.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Market Impact Model V2</w:t>
      </w:r>
      <w:r>
        <w:rPr>
          <w:rFonts w:ascii="Times Roman" w:hAnsi="Times Roman" w:hint="default"/>
          <w:rtl w:val="0"/>
          <w:lang w:val="en-US"/>
        </w:rPr>
        <w:t xml:space="preserve"> – </w:t>
      </w:r>
      <w:r>
        <w:rPr>
          <w:rFonts w:ascii="Times Roman" w:hAnsi="Times Roman"/>
          <w:rtl w:val="0"/>
          <w:lang w:val="en-US"/>
        </w:rPr>
        <w:t>Supports the narrative/counter-narrative construction by estimating market risk exposure.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Allocation Algorithm</w:t>
      </w:r>
      <w:r>
        <w:rPr>
          <w:rFonts w:ascii="Times Roman" w:hAnsi="Times Roman" w:hint="default"/>
          <w:rtl w:val="0"/>
          <w:lang w:val="en-US"/>
        </w:rPr>
        <w:t xml:space="preserve"> – </w:t>
      </w:r>
      <w:r>
        <w:rPr>
          <w:rFonts w:ascii="Times Roman" w:hAnsi="Times Roman"/>
          <w:rtl w:val="0"/>
          <w:lang w:val="en-US"/>
        </w:rPr>
        <w:t>(Where relevant) assigns trade sizes, matchings, and position changes consistently across the analysis window.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These component models supply the input series and risk decompositions required for Narrative and Counter-Narrative calculations.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4. Inputs and Parameters</w:t>
      </w:r>
    </w:p>
    <w:p>
      <w:pPr>
        <w:pStyle w:val="Default"/>
        <w:suppressAutoHyphens w:val="1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Inputs</w:t>
      </w:r>
    </w:p>
    <w:p>
      <w:pPr>
        <w:pStyle w:val="Default"/>
        <w:numPr>
          <w:ilvl w:val="0"/>
          <w:numId w:val="5"/>
        </w:numPr>
        <w:suppressAutoHyphens w:val="1"/>
        <w:spacing w:before="0" w:after="240" w:line="240" w:lineRule="auto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Outputs from Event Detector</w:t>
      </w:r>
    </w:p>
    <w:p>
      <w:pPr>
        <w:pStyle w:val="Default"/>
        <w:numPr>
          <w:ilvl w:val="1"/>
          <w:numId w:val="7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Identified events representing statistically significant price shocks.</w:t>
      </w:r>
    </w:p>
    <w:p>
      <w:pPr>
        <w:pStyle w:val="Default"/>
        <w:numPr>
          <w:ilvl w:val="0"/>
          <w:numId w:val="5"/>
        </w:numPr>
        <w:suppressAutoHyphens w:val="1"/>
        <w:spacing w:before="0" w:after="240" w:line="240" w:lineRule="auto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Trade Data Prior to the Event</w:t>
      </w:r>
    </w:p>
    <w:p>
      <w:pPr>
        <w:pStyle w:val="Default"/>
        <w:numPr>
          <w:ilvl w:val="1"/>
          <w:numId w:val="7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Trade notional</w:t>
      </w:r>
    </w:p>
    <w:p>
      <w:pPr>
        <w:pStyle w:val="Default"/>
        <w:numPr>
          <w:ilvl w:val="1"/>
          <w:numId w:val="7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Trade time</w:t>
      </w:r>
    </w:p>
    <w:p>
      <w:pPr>
        <w:pStyle w:val="Default"/>
        <w:numPr>
          <w:ilvl w:val="1"/>
          <w:numId w:val="7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Trade direction (buy/sell)</w:t>
      </w:r>
    </w:p>
    <w:p>
      <w:pPr>
        <w:pStyle w:val="Default"/>
        <w:numPr>
          <w:ilvl w:val="1"/>
          <w:numId w:val="7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Decomposition into market risk series via GMM</w:t>
      </w:r>
    </w:p>
    <w:p>
      <w:pPr>
        <w:pStyle w:val="Default"/>
        <w:numPr>
          <w:ilvl w:val="0"/>
          <w:numId w:val="8"/>
        </w:numPr>
        <w:suppressAutoHyphens w:val="1"/>
        <w:spacing w:before="0" w:after="240" w:line="240" w:lineRule="auto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Instrument Market Data</w:t>
      </w:r>
    </w:p>
    <w:p>
      <w:pPr>
        <w:pStyle w:val="Default"/>
        <w:numPr>
          <w:ilvl w:val="1"/>
          <w:numId w:val="7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Intraday or daily price series</w:t>
      </w:r>
    </w:p>
    <w:p>
      <w:pPr>
        <w:pStyle w:val="Default"/>
        <w:numPr>
          <w:ilvl w:val="1"/>
          <w:numId w:val="7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Volatility time series</w:t>
      </w:r>
    </w:p>
    <w:p>
      <w:pPr>
        <w:pStyle w:val="Default"/>
        <w:numPr>
          <w:ilvl w:val="1"/>
          <w:numId w:val="7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Event size and event weight</w:t>
      </w:r>
    </w:p>
    <w:p>
      <w:pPr>
        <w:pStyle w:val="Default"/>
        <w:suppressAutoHyphens w:val="1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Fixed Parameters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 w:hint="default"/>
          <w:lang w:val="en-US"/>
        </w:rPr>
      </w:pPr>
      <w:r>
        <w:rPr>
          <w:rFonts w:ascii="Times Roman" w:hAnsi="Times Roman" w:hint="default"/>
          <w:rtl w:val="0"/>
          <w:lang w:val="en-US"/>
        </w:rPr>
        <w:t>λ</w:t>
      </w:r>
      <w:r>
        <w:rPr>
          <w:rFonts w:ascii="Times Roman" w:hAnsi="Times Roman"/>
          <w:rtl w:val="0"/>
          <w:lang w:val="en-US"/>
        </w:rPr>
        <w:t>: Linear scaling constant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 w:hint="default"/>
          <w:lang w:val="en-US"/>
        </w:rPr>
      </w:pPr>
      <w:r>
        <w:rPr>
          <w:rFonts w:ascii="Times Roman" w:hAnsi="Times Roman" w:hint="default"/>
          <w:rtl w:val="0"/>
          <w:lang w:val="en-US"/>
        </w:rPr>
        <w:t>μ</w:t>
      </w:r>
      <w:r>
        <w:rPr>
          <w:rFonts w:ascii="Times Roman" w:hAnsi="Times Roman"/>
          <w:rtl w:val="0"/>
          <w:lang w:val="en-US"/>
        </w:rPr>
        <w:t>: Shape constant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 w:hint="default"/>
          <w:lang w:val="en-US"/>
        </w:rPr>
      </w:pPr>
      <w:r>
        <w:rPr>
          <w:rFonts w:ascii="Times Roman" w:hAnsi="Times Roman" w:hint="default"/>
          <w:rtl w:val="0"/>
          <w:lang w:val="en-US"/>
        </w:rPr>
        <w:t>θ</w:t>
      </w:r>
      <w:r>
        <w:rPr>
          <w:rFonts w:ascii="Times Roman" w:hAnsi="Times Roman"/>
          <w:rtl w:val="0"/>
          <w:lang w:val="en-US"/>
        </w:rPr>
        <w:t>: Decay rate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 w:hint="default"/>
          <w:lang w:val="en-US"/>
        </w:rPr>
      </w:pPr>
      <w:r>
        <w:rPr>
          <w:rFonts w:ascii="Times Roman" w:hAnsi="Times Roman" w:hint="default"/>
          <w:rtl w:val="0"/>
          <w:lang w:val="en-US"/>
        </w:rPr>
        <w:t>γ</w:t>
      </w:r>
      <w:r>
        <w:rPr>
          <w:rFonts w:ascii="Times Roman" w:hAnsi="Times Roman"/>
          <w:rtl w:val="0"/>
          <w:lang w:val="en-US"/>
        </w:rPr>
        <w:t>: Decay shape</w:t>
      </w:r>
    </w:p>
    <w:p>
      <w:pPr>
        <w:pStyle w:val="Default"/>
        <w:suppressAutoHyphens w:val="1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Dynamically Calibrated Parameters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 w:hint="default"/>
          <w:lang w:val="en-US"/>
        </w:rPr>
      </w:pPr>
      <w:r>
        <w:rPr>
          <w:rFonts w:ascii="Times Roman" w:hAnsi="Times Roman" w:hint="default"/>
          <w:rtl w:val="0"/>
          <w:lang w:val="en-US"/>
        </w:rPr>
        <w:t>σ</w:t>
      </w:r>
      <w:r>
        <w:rPr>
          <w:rFonts w:ascii="Times Roman" w:hAnsi="Times Roman"/>
          <w:rtl w:val="0"/>
          <w:lang w:val="en-US"/>
        </w:rPr>
        <w:t>: Instrument volatility (EWMA-based)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V: Average daily traded volume</w:t>
      </w:r>
    </w:p>
    <w:p>
      <w:pPr>
        <w:pStyle w:val="Default"/>
        <w:suppressAutoHyphens w:val="1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Model-Derived Parameters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Event Size (magnitude of price shock)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Event Weight (severity index from 0 to 1)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Facilitation multiplier adjustments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Market Risk Building vs Market Risk Flat labels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These parameters influence the sensitivity of the Narrative and Counter-Narrative scoring, ultimately determining the materiality score assigned to each event.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5. Algorithm Steps</w:t>
      </w:r>
    </w:p>
    <w:p>
      <w:pPr>
        <w:pStyle w:val="Default"/>
        <w:suppressAutoHyphens w:val="1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Step 1: Event Detection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Use volatility-adjusted thresholds to identify significant price movements.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Classify events as intraday, overnight, or daily depending on data granularity.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Assign event size and event weight based on deviation from volatility norms.</w:t>
      </w:r>
    </w:p>
    <w:p>
      <w:pPr>
        <w:pStyle w:val="Default"/>
        <w:suppressAutoHyphens w:val="1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Step 2: Dataset Construction &amp; Facilitation Adjustment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For each event, gather all pre-event trades within the maximum analysis window.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Apply facilitation multiplier to down-weight trades very close in time or appearing client-driven.</w:t>
      </w:r>
    </w:p>
    <w:p>
      <w:pPr>
        <w:pStyle w:val="Default"/>
        <w:suppressAutoHyphens w:val="1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Step 3: Categorize Trades</w:t>
      </w:r>
    </w:p>
    <w:p>
      <w:pPr>
        <w:pStyle w:val="Default"/>
        <w:numPr>
          <w:ilvl w:val="0"/>
          <w:numId w:val="9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Use GMM to classify trades into:</w:t>
      </w:r>
    </w:p>
    <w:p>
      <w:pPr>
        <w:pStyle w:val="Default"/>
        <w:numPr>
          <w:ilvl w:val="1"/>
          <w:numId w:val="9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Market Risk Building</w:t>
      </w:r>
      <w:r>
        <w:rPr>
          <w:rFonts w:ascii="Times Roman" w:hAnsi="Times Roman"/>
          <w:rtl w:val="0"/>
          <w:lang w:val="en-US"/>
        </w:rPr>
        <w:t xml:space="preserve"> (position increases meaningfully), or</w:t>
      </w:r>
    </w:p>
    <w:p>
      <w:pPr>
        <w:pStyle w:val="Default"/>
        <w:numPr>
          <w:ilvl w:val="1"/>
          <w:numId w:val="9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Market Risk Flat</w:t>
      </w:r>
      <w:r>
        <w:rPr>
          <w:rFonts w:ascii="Times Roman" w:hAnsi="Times Roman"/>
          <w:rtl w:val="0"/>
          <w:lang w:val="en-US"/>
        </w:rPr>
        <w:t xml:space="preserve"> (position flips but net market risk stays roughly unchanged)</w:t>
      </w:r>
    </w:p>
    <w:p>
      <w:pPr>
        <w:pStyle w:val="Default"/>
        <w:numPr>
          <w:ilvl w:val="0"/>
          <w:numId w:val="9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Construct position-time sequence over the analysis window.</w:t>
      </w:r>
    </w:p>
    <w:p>
      <w:pPr>
        <w:pStyle w:val="Default"/>
        <w:suppressAutoHyphens w:val="1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Step 4: Derive Narrative Value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For each trade:</w:t>
      </w:r>
    </w:p>
    <w:p>
      <w:pPr>
        <w:pStyle w:val="Default"/>
        <w:suppressAutoHyphens w:val="1"/>
        <w:spacing w:before="0" w:line="240" w:lineRule="auto"/>
        <w:jc w:val="left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  <w:lang w:val="en-US"/>
        </w:rPr>
        <w:t>Narrative</w:t>
      </w:r>
    </w:p>
    <w:p>
      <w:pPr>
        <w:pStyle w:val="Default"/>
        <w:suppressAutoHyphens w:val="1"/>
        <w:spacing w:before="0" w:line="240" w:lineRule="auto"/>
        <w:jc w:val="left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  <w:lang w:val="en-US"/>
        </w:rPr>
        <w:t>=</w:t>
      </w:r>
    </w:p>
    <w:p>
      <w:pPr>
        <w:pStyle w:val="Default"/>
        <w:suppressAutoHyphens w:val="1"/>
        <w:spacing w:before="0" w:line="240" w:lineRule="auto"/>
        <w:jc w:val="left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  <w:lang w:val="en-US"/>
        </w:rPr>
        <w:t>(</w:t>
      </w:r>
    </w:p>
    <w:p>
      <w:pPr>
        <w:pStyle w:val="Default"/>
        <w:suppressAutoHyphens w:val="1"/>
        <w:spacing w:before="0" w:line="240" w:lineRule="auto"/>
        <w:jc w:val="left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 w:hint="default"/>
          <w:rtl w:val="0"/>
          <w:lang w:val="en-US"/>
        </w:rPr>
        <w:t>Δ</w:t>
      </w:r>
    </w:p>
    <w:p>
      <w:pPr>
        <w:pStyle w:val="Default"/>
        <w:suppressAutoHyphens w:val="1"/>
        <w:spacing w:before="0" w:line="240" w:lineRule="auto"/>
        <w:jc w:val="left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  <w:lang w:val="en-US"/>
        </w:rPr>
        <w:t>Position</w:t>
      </w:r>
    </w:p>
    <w:p>
      <w:pPr>
        <w:pStyle w:val="Default"/>
        <w:suppressAutoHyphens w:val="1"/>
        <w:spacing w:before="0" w:line="240" w:lineRule="auto"/>
        <w:jc w:val="left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  <w:lang w:val="en-US"/>
        </w:rPr>
        <w:t>)</w:t>
      </w:r>
    </w:p>
    <w:p>
      <w:pPr>
        <w:pStyle w:val="Default"/>
        <w:suppressAutoHyphens w:val="1"/>
        <w:spacing w:before="0" w:line="240" w:lineRule="auto"/>
        <w:jc w:val="left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 w:hint="default"/>
          <w:rtl w:val="0"/>
          <w:lang w:val="en-US"/>
        </w:rPr>
        <w:t>×</w:t>
      </w:r>
    </w:p>
    <w:p>
      <w:pPr>
        <w:pStyle w:val="Default"/>
        <w:suppressAutoHyphens w:val="1"/>
        <w:spacing w:before="0" w:line="240" w:lineRule="auto"/>
        <w:jc w:val="left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  <w:lang w:val="en-US"/>
        </w:rPr>
        <w:t>(</w:t>
      </w:r>
    </w:p>
    <w:p>
      <w:pPr>
        <w:pStyle w:val="Default"/>
        <w:suppressAutoHyphens w:val="1"/>
        <w:spacing w:before="0" w:line="240" w:lineRule="auto"/>
        <w:jc w:val="left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  <w:lang w:val="en-US"/>
        </w:rPr>
        <w:t>Event</w:t>
      </w:r>
      <w:r>
        <w:rPr>
          <w:rFonts w:ascii="STIX Two Math Regular" w:hAnsi="STIX Two Math Regular" w:hint="default"/>
          <w:rtl w:val="0"/>
          <w:lang w:val="en-US"/>
        </w:rPr>
        <w:t> </w:t>
      </w:r>
      <w:r>
        <w:rPr>
          <w:rFonts w:ascii="STIX Two Math Regular" w:hAnsi="STIX Two Math Regular"/>
          <w:rtl w:val="0"/>
          <w:lang w:val="en-US"/>
        </w:rPr>
        <w:t>Size</w:t>
      </w:r>
    </w:p>
    <w:p>
      <w:pPr>
        <w:pStyle w:val="Default"/>
        <w:suppressAutoHyphens w:val="1"/>
        <w:spacing w:before="0" w:line="240" w:lineRule="auto"/>
        <w:jc w:val="left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  <w:lang w:val="en-US"/>
        </w:rPr>
        <w:t>)</w:t>
      </w:r>
    </w:p>
    <w:p>
      <w:pPr>
        <w:pStyle w:val="Default"/>
        <w:suppressAutoHyphens w:val="1"/>
        <w:spacing w:before="0" w:line="240" w:lineRule="auto"/>
        <w:jc w:val="left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 w:hint="default"/>
          <w:rtl w:val="0"/>
          <w:lang w:val="en-US"/>
        </w:rPr>
        <w:t>×</w:t>
      </w:r>
    </w:p>
    <w:p>
      <w:pPr>
        <w:pStyle w:val="Default"/>
        <w:suppressAutoHyphens w:val="1"/>
        <w:spacing w:before="0" w:line="240" w:lineRule="auto"/>
        <w:jc w:val="left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  <w:lang w:val="en-US"/>
        </w:rPr>
        <w:t>(</w:t>
      </w:r>
    </w:p>
    <w:p>
      <w:pPr>
        <w:pStyle w:val="Default"/>
        <w:suppressAutoHyphens w:val="1"/>
        <w:spacing w:before="0" w:line="240" w:lineRule="auto"/>
        <w:jc w:val="left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  <w:lang w:val="en-US"/>
        </w:rPr>
        <w:t>Event</w:t>
      </w:r>
      <w:r>
        <w:rPr>
          <w:rFonts w:ascii="STIX Two Math Regular" w:hAnsi="STIX Two Math Regular" w:hint="default"/>
          <w:rtl w:val="0"/>
          <w:lang w:val="en-US"/>
        </w:rPr>
        <w:t> </w:t>
      </w:r>
      <w:r>
        <w:rPr>
          <w:rFonts w:ascii="STIX Two Math Regular" w:hAnsi="STIX Two Math Regular"/>
          <w:rtl w:val="0"/>
          <w:lang w:val="en-US"/>
        </w:rPr>
        <w:t>Weight</w:t>
      </w:r>
    </w:p>
    <w:p>
      <w:pPr>
        <w:pStyle w:val="Default"/>
        <w:suppressAutoHyphens w:val="1"/>
        <w:spacing w:before="0" w:line="240" w:lineRule="auto"/>
        <w:jc w:val="left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  <w:lang w:val="en-US"/>
        </w:rPr>
        <w:t>)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\text{Narrative} = (\Delta \text{Position}) \times (\text{Event Size}) \times (\text{Event Weight})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Narrative=(</w:t>
      </w:r>
      <w:r>
        <w:rPr>
          <w:rFonts w:ascii="Times Roman" w:hAnsi="Times Roman" w:hint="default"/>
          <w:rtl w:val="0"/>
          <w:lang w:val="en-US"/>
        </w:rPr>
        <w:t>Δ</w:t>
      </w:r>
      <w:r>
        <w:rPr>
          <w:rFonts w:ascii="Times Roman" w:hAnsi="Times Roman"/>
          <w:rtl w:val="0"/>
          <w:lang w:val="en-US"/>
        </w:rPr>
        <w:t>Position)</w:t>
      </w:r>
      <w:r>
        <w:rPr>
          <w:rFonts w:ascii="Times Roman" w:hAnsi="Times Roman" w:hint="default"/>
          <w:rtl w:val="0"/>
          <w:lang w:val="en-US"/>
        </w:rPr>
        <w:t>×</w:t>
      </w:r>
      <w:r>
        <w:rPr>
          <w:rFonts w:ascii="Times Roman" w:hAnsi="Times Roman"/>
          <w:rtl w:val="0"/>
          <w:lang w:val="en-US"/>
        </w:rPr>
        <w:t>(Event</w:t>
      </w:r>
      <w:r>
        <w:rPr>
          <w:rFonts w:ascii="Times Roman" w:hAnsi="Times Roman" w:hint="default"/>
          <w:rtl w:val="0"/>
          <w:lang w:val="en-US"/>
        </w:rPr>
        <w:t> </w:t>
      </w:r>
      <w:r>
        <w:rPr>
          <w:rFonts w:ascii="Times Roman" w:hAnsi="Times Roman"/>
          <w:rtl w:val="0"/>
          <w:lang w:val="en-US"/>
        </w:rPr>
        <w:t>Size)</w:t>
      </w:r>
      <w:r>
        <w:rPr>
          <w:rFonts w:ascii="Times Roman" w:hAnsi="Times Roman" w:hint="default"/>
          <w:rtl w:val="0"/>
          <w:lang w:val="en-US"/>
        </w:rPr>
        <w:t>×</w:t>
      </w:r>
      <w:r>
        <w:rPr>
          <w:rFonts w:ascii="Times Roman" w:hAnsi="Times Roman"/>
          <w:rtl w:val="0"/>
          <w:lang w:val="en-US"/>
        </w:rPr>
        <w:t>(Event</w:t>
      </w:r>
      <w:r>
        <w:rPr>
          <w:rFonts w:ascii="Times Roman" w:hAnsi="Times Roman" w:hint="default"/>
          <w:rtl w:val="0"/>
          <w:lang w:val="en-US"/>
        </w:rPr>
        <w:t> </w:t>
      </w:r>
      <w:r>
        <w:rPr>
          <w:rFonts w:ascii="Times Roman" w:hAnsi="Times Roman"/>
          <w:rtl w:val="0"/>
          <w:lang w:val="en-US"/>
        </w:rPr>
        <w:t>Weight)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Positive Narrative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→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trader benefits from the event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Negative Narrative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→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trader would suffer from the event</w:t>
      </w:r>
    </w:p>
    <w:p>
      <w:pPr>
        <w:pStyle w:val="Default"/>
        <w:suppressAutoHyphens w:val="1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Step 5: Derive Counter-Narrative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Counter-Narrative reduces Narrative for plausible non-insider explanations: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For Market Risk Building: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Diversification penalty (reduces suspiciousness if portfolio diversified)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Time decay (older trades get reduced weight)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For Market Risk Flat: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Classic Loss Avoidance Scenario (CLAS) similarity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Loss Avoidance Multiplier (-1 to +1) applied to Narrative based on how closely the trader</w:t>
      </w:r>
      <w:r>
        <w:rPr>
          <w:rFonts w:ascii="Times Roman" w:hAnsi="Times Roman" w:hint="default"/>
          <w:rtl w:val="0"/>
          <w:lang w:val="en-US"/>
        </w:rPr>
        <w:t>’</w:t>
      </w:r>
      <w:r>
        <w:rPr>
          <w:rFonts w:ascii="Times Roman" w:hAnsi="Times Roman"/>
          <w:rtl w:val="0"/>
          <w:lang w:val="en-US"/>
        </w:rPr>
        <w:t>s activity resembles suspicious pre-event flips</w:t>
      </w:r>
    </w:p>
    <w:p>
      <w:pPr>
        <w:pStyle w:val="Default"/>
        <w:suppressAutoHyphens w:val="1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Step 6: Calculate Materiality Score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Aggregate Narrative </w:t>
      </w:r>
      <w:r>
        <w:rPr>
          <w:rFonts w:ascii="Times Roman" w:hAnsi="Times Roman" w:hint="default"/>
          <w:rtl w:val="0"/>
          <w:lang w:val="en-US"/>
        </w:rPr>
        <w:t xml:space="preserve">– </w:t>
      </w:r>
      <w:r>
        <w:rPr>
          <w:rFonts w:ascii="Times Roman" w:hAnsi="Times Roman"/>
          <w:rtl w:val="0"/>
          <w:lang w:val="en-US"/>
        </w:rPr>
        <w:t>Adjusted Counter-Narrative across all trades.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Run the algorithm across multiple analysis windows (shifted start times).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Select the </w:t>
      </w:r>
      <w:r>
        <w:rPr>
          <w:rFonts w:ascii="Times Roman" w:hAnsi="Times Roman"/>
          <w:b w:val="1"/>
          <w:bCs w:val="1"/>
          <w:rtl w:val="0"/>
          <w:lang w:val="en-US"/>
        </w:rPr>
        <w:t>maximum total score</w:t>
      </w:r>
      <w:r>
        <w:rPr>
          <w:rFonts w:ascii="Times Roman" w:hAnsi="Times Roman"/>
          <w:rtl w:val="0"/>
          <w:lang w:val="en-US"/>
        </w:rPr>
        <w:t xml:space="preserve"> as the final materiality score.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6. MRM Assessment (Strengths &amp; Weaknesses)</w:t>
      </w:r>
    </w:p>
    <w:p>
      <w:pPr>
        <w:pStyle w:val="Default"/>
        <w:suppressAutoHyphens w:val="1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Strengths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Model-based approach</w:t>
      </w:r>
      <w:r>
        <w:rPr>
          <w:rFonts w:ascii="Times Roman" w:hAnsi="Times Roman"/>
          <w:rtl w:val="0"/>
          <w:lang w:val="en-US"/>
        </w:rPr>
        <w:t xml:space="preserve"> improves detection accuracy versus static rules.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Event-driven framework</w:t>
      </w:r>
      <w:r>
        <w:rPr>
          <w:rFonts w:ascii="Times Roman" w:hAnsi="Times Roman"/>
          <w:rtl w:val="0"/>
          <w:lang w:val="en-US"/>
        </w:rPr>
        <w:t xml:space="preserve"> isolates true price shocks from noise.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GMM decomposition</w:t>
      </w:r>
      <w:r>
        <w:rPr>
          <w:rFonts w:ascii="Times Roman" w:hAnsi="Times Roman"/>
          <w:rtl w:val="0"/>
          <w:lang w:val="en-US"/>
        </w:rPr>
        <w:t xml:space="preserve"> distinguishes meaningful risk-building activity from flat trading.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Narrative vs Counter-Narrative</w:t>
      </w:r>
      <w:r>
        <w:rPr>
          <w:rFonts w:ascii="Times Roman" w:hAnsi="Times Roman"/>
          <w:rtl w:val="0"/>
          <w:lang w:val="en-US"/>
        </w:rPr>
        <w:t xml:space="preserve"> approach is intuitive and aligned with insider trading theory.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Multiple window aggregation</w:t>
      </w:r>
      <w:r>
        <w:rPr>
          <w:rFonts w:ascii="Times Roman" w:hAnsi="Times Roman"/>
          <w:rtl w:val="0"/>
          <w:lang w:val="en-US"/>
        </w:rPr>
        <w:t xml:space="preserve"> reduces sensitivity to window selection bias.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Dynamic calibration</w:t>
      </w:r>
      <w:r>
        <w:rPr>
          <w:rFonts w:ascii="Times Roman" w:hAnsi="Times Roman"/>
          <w:rtl w:val="0"/>
          <w:lang w:val="en-US"/>
        </w:rPr>
        <w:t xml:space="preserve"> allows model to adapt to evolving market volatility.</w:t>
      </w:r>
    </w:p>
    <w:p>
      <w:pPr>
        <w:pStyle w:val="Default"/>
        <w:suppressAutoHyphens w:val="1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Weaknesses / Risks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High model complexity</w:t>
      </w:r>
      <w:r>
        <w:rPr>
          <w:rFonts w:ascii="Times Roman" w:hAnsi="Times Roman"/>
          <w:rtl w:val="0"/>
          <w:lang w:val="en-US"/>
        </w:rPr>
        <w:t xml:space="preserve"> may reduce transparency for end-users and regulators.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Heavy reliance on volatility estimation</w:t>
      </w:r>
      <w:r>
        <w:rPr>
          <w:rFonts w:ascii="Times Roman" w:hAnsi="Times Roman" w:hint="default"/>
          <w:rtl w:val="0"/>
          <w:lang w:val="en-US"/>
        </w:rPr>
        <w:t>—</w:t>
      </w:r>
      <w:r>
        <w:rPr>
          <w:rFonts w:ascii="Times Roman" w:hAnsi="Times Roman"/>
          <w:rtl w:val="0"/>
          <w:lang w:val="en-US"/>
        </w:rPr>
        <w:t>mis-estimated volatility can cause false positives/negatives.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Facilitation multiplier assumptions</w:t>
      </w:r>
      <w:r>
        <w:rPr>
          <w:rFonts w:ascii="Times Roman" w:hAnsi="Times Roman"/>
          <w:rtl w:val="0"/>
          <w:lang w:val="en-US"/>
        </w:rPr>
        <w:t xml:space="preserve"> require strong justification and may suppress legitimate trades.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Event detection thresholds</w:t>
      </w:r>
      <w:r>
        <w:rPr>
          <w:rFonts w:ascii="Times Roman" w:hAnsi="Times Roman"/>
          <w:rtl w:val="0"/>
          <w:lang w:val="en-US"/>
        </w:rPr>
        <w:t xml:space="preserve"> are sensitive to data quality; outliers affect event classification.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Cross-asset or synthetic exposures</w:t>
      </w:r>
      <w:r>
        <w:rPr>
          <w:rFonts w:ascii="Times Roman" w:hAnsi="Times Roman"/>
          <w:rtl w:val="0"/>
          <w:lang w:val="en-US"/>
        </w:rPr>
        <w:t xml:space="preserve"> might not be fully captured if only single-instrument trades are analyzed.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Model interpretability risk</w:t>
      </w:r>
      <w:r>
        <w:rPr>
          <w:rFonts w:ascii="Times Roman" w:hAnsi="Times Roman" w:hint="default"/>
          <w:rtl w:val="0"/>
          <w:lang w:val="en-US"/>
        </w:rPr>
        <w:t>—</w:t>
      </w:r>
      <w:r>
        <w:rPr>
          <w:rFonts w:ascii="Times Roman" w:hAnsi="Times Roman"/>
          <w:rtl w:val="0"/>
          <w:lang w:val="en-US"/>
        </w:rPr>
        <w:t>analysts may struggle to understand the Counter-Narrative corrections.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Calibration risk</w:t>
      </w:r>
      <w:r>
        <w:rPr>
          <w:rFonts w:ascii="Times Roman" w:hAnsi="Times Roman" w:hint="default"/>
          <w:rtl w:val="0"/>
          <w:lang w:val="en-US"/>
        </w:rPr>
        <w:t>—</w:t>
      </w:r>
      <w:r>
        <w:rPr>
          <w:rFonts w:ascii="Times Roman" w:hAnsi="Times Roman"/>
          <w:rtl w:val="0"/>
          <w:lang w:val="en-US"/>
        </w:rPr>
        <w:t>parameters such as decay rate, CLAS benchmarks, and multipliers need ongoing tuning.</w:t>
      </w:r>
    </w:p>
    <w:p>
      <w:pPr>
        <w:pStyle w:val="Default"/>
        <w:suppressAutoHyphens w:val="1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Overall MRM Conclusion</w:t>
      </w:r>
    </w:p>
    <w:p>
      <w:pPr>
        <w:pStyle w:val="Default"/>
        <w:suppressAutoHyphens w:val="1"/>
        <w:spacing w:before="0" w:after="240" w:line="240" w:lineRule="auto"/>
        <w:jc w:val="left"/>
      </w:pPr>
      <w:r>
        <w:rPr>
          <w:rFonts w:ascii="Times Roman" w:hAnsi="Times Roman"/>
          <w:rtl w:val="0"/>
          <w:lang w:val="en-US"/>
        </w:rPr>
        <w:t>The Insider Dealing V4 model provides a robust and theoretically sound framework for identifying MNPI-driven trades, but it requires careful monitoring of calibration, data quality, and interpretability to ensure reliable and explainable outputs</w:t>
      </w:r>
    </w:p>
    <w:sectPr>
      <w:headerReference w:type="default" r:id="rId4"/>
      <w:footerReference w:type="default" r:id="rId5"/>
      <w:pgSz w:w="11920" w:h="16840" w:orient="portrait"/>
      <w:pgMar w:top="1120" w:right="440" w:bottom="280" w:left="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STIX Two Math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Dash.0"/>
  </w:abstractNum>
  <w:abstractNum w:abstractNumId="3">
    <w:multiLevelType w:val="hybridMultilevel"/>
    <w:styleLink w:val="Dash.0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1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abstractNum w:abstractNumId="4">
    <w:multiLevelType w:val="hybridMultilevel"/>
    <w:numStyleLink w:val="Dash.0.0"/>
  </w:abstractNum>
  <w:abstractNum w:abstractNumId="5">
    <w:multiLevelType w:val="hybridMultilevel"/>
    <w:styleLink w:val="Dash.0.0"/>
    <w:lvl w:ilvl="0">
      <w:start w:val="1"/>
      <w:numFmt w:val="bullet"/>
      <w:suff w:val="tab"/>
      <w:lvlText w:val="-"/>
      <w:lvlJc w:val="left"/>
      <w:pPr>
        <w:ind w:left="262" w:hanging="26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5"/>
  </w:num>
  <w:num w:numId="7">
    <w:abstractNumId w:val="4"/>
  </w:num>
  <w:num w:numId="8">
    <w:abstractNumId w:val="2"/>
    <w:lvlOverride w:ilvl="0">
      <w:startOverride w:val="3"/>
    </w:lvlOverride>
  </w:num>
  <w:num w:numId="9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s">
    <w:name w:val="Bullets"/>
    <w:pPr>
      <w:numPr>
        <w:numId w:val="1"/>
      </w:numPr>
    </w:pPr>
  </w:style>
  <w:style w:type="numbering" w:styleId="Dash.0">
    <w:name w:val="Dash.0"/>
    <w:pPr>
      <w:numPr>
        <w:numId w:val="4"/>
      </w:numPr>
    </w:pPr>
  </w:style>
  <w:style w:type="numbering" w:styleId="Dash.0.0">
    <w:name w:val="Dash.0.0"/>
    <w:pPr>
      <w:numPr>
        <w:numId w:val="6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Georgia"/>
            <a:ea typeface="Georgia"/>
            <a:cs typeface="Georgia"/>
            <a:sym typeface="Georg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Georgia"/>
            <a:ea typeface="Georgia"/>
            <a:cs typeface="Georgia"/>
            <a:sym typeface="Georg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