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9CEB" w14:textId="77777777" w:rsidR="00C8392D" w:rsidRDefault="00C8392D">
      <w:pPr>
        <w:pStyle w:val="Text"/>
        <w:ind w:firstLine="0"/>
        <w:rPr>
          <w:sz w:val="2"/>
          <w:szCs w:val="18"/>
        </w:rPr>
      </w:pPr>
      <w:r w:rsidRPr="00F81836">
        <w:rPr>
          <w:rStyle w:val="FootnoteReference"/>
        </w:rPr>
        <w:footnoteReference w:customMarkFollows="1" w:id="1"/>
        <w:sym w:font="Symbol" w:char="F020"/>
      </w:r>
    </w:p>
    <w:p w14:paraId="7FAAA827" w14:textId="1CDC6823" w:rsidR="00C8392D" w:rsidRDefault="00A37AFB" w:rsidP="00C8392D">
      <w:pPr>
        <w:pStyle w:val="Title"/>
        <w:framePr w:wrap="notBeside"/>
      </w:pPr>
      <w:bookmarkStart w:id="0" w:name="_Hlk112160346"/>
      <w:r>
        <w:t xml:space="preserve">Integral-type second order sliding mode controller </w:t>
      </w:r>
      <w:bookmarkEnd w:id="0"/>
      <w:r>
        <w:t>for power control</w:t>
      </w:r>
      <w:r w:rsidR="00C8392D">
        <w:t>*</w:t>
      </w:r>
    </w:p>
    <w:p w14:paraId="5101D6A1" w14:textId="77777777" w:rsidR="00C8392D" w:rsidRDefault="00C8392D" w:rsidP="00C8392D">
      <w:pPr>
        <w:pStyle w:val="Authors"/>
        <w:framePr w:wrap="notBeside" w:x="1614"/>
      </w:pPr>
      <w:r>
        <w:t xml:space="preserve">First A. Author, Second B. Author, Jr., and Third C. Author, </w:t>
      </w:r>
      <w:r>
        <w:rPr>
          <w:rStyle w:val="MemberType"/>
        </w:rPr>
        <w:t>Member, IEEE</w:t>
      </w:r>
    </w:p>
    <w:p w14:paraId="4E93BF12" w14:textId="4E60F394" w:rsidR="00C8392D" w:rsidRDefault="00C8392D" w:rsidP="00C8392D">
      <w:pPr>
        <w:pStyle w:val="Abstract"/>
        <w:spacing w:before="0"/>
      </w:pPr>
      <w:r>
        <w:rPr>
          <w:i/>
          <w:iCs/>
        </w:rPr>
        <w:t>Abstract</w:t>
      </w:r>
      <w:r>
        <w:t>—</w:t>
      </w:r>
      <w:r w:rsidRPr="00B32A40">
        <w:t xml:space="preserve"> </w:t>
      </w:r>
      <w:r w:rsidR="00237916">
        <w:t xml:space="preserve">This paper </w:t>
      </w:r>
    </w:p>
    <w:p w14:paraId="1515F48D" w14:textId="77777777" w:rsidR="00C8392D" w:rsidRDefault="00C8392D" w:rsidP="00C8392D">
      <w:pPr>
        <w:pStyle w:val="Heading1"/>
        <w:spacing w:before="120" w:after="120"/>
      </w:pPr>
      <w:r>
        <w:t>I</w:t>
      </w:r>
      <w:r>
        <w:rPr>
          <w:sz w:val="16"/>
          <w:szCs w:val="16"/>
        </w:rPr>
        <w:t>NTRODUCTION</w:t>
      </w:r>
    </w:p>
    <w:p w14:paraId="065384FE" w14:textId="7FCEE035" w:rsidR="00696A7D" w:rsidRDefault="00DE1ACC" w:rsidP="00DF500A">
      <w:pPr>
        <w:pStyle w:val="BodyText"/>
      </w:pPr>
      <w:r w:rsidRPr="00DE1ACC">
        <w:t xml:space="preserve">In many control applications, </w:t>
      </w:r>
    </w:p>
    <w:p w14:paraId="1F234E7D" w14:textId="77777777" w:rsidR="00C8392D" w:rsidRDefault="00696A7D" w:rsidP="00C8392D">
      <w:pPr>
        <w:pStyle w:val="Heading1"/>
        <w:spacing w:before="120" w:after="120"/>
      </w:pPr>
      <w:r>
        <w:t>Preliminary</w:t>
      </w:r>
    </w:p>
    <w:p w14:paraId="205C7642" w14:textId="7CF88CAE" w:rsidR="00E85AE3" w:rsidRDefault="00696A7D" w:rsidP="00A37AFB">
      <w:pPr>
        <w:jc w:val="both"/>
      </w:pPr>
      <w:r>
        <w:t xml:space="preserve">The goal of this section is to present </w:t>
      </w:r>
      <w:r w:rsidR="00E85AE3">
        <w:t>parameter estimation.</w:t>
      </w:r>
    </w:p>
    <w:p w14:paraId="16317442" w14:textId="4570DB8A" w:rsidR="00C8392D" w:rsidRDefault="00A9334D" w:rsidP="00C8392D">
      <w:pPr>
        <w:pStyle w:val="Heading1"/>
        <w:spacing w:before="120" w:after="120"/>
      </w:pPr>
      <w:r>
        <w:t>Design Methodology</w:t>
      </w:r>
    </w:p>
    <w:p w14:paraId="0490EE2E" w14:textId="6E564E4F" w:rsidR="00690347" w:rsidRDefault="00690347" w:rsidP="00690347">
      <w:pPr>
        <w:pStyle w:val="BodyText"/>
      </w:pPr>
      <w:r>
        <w:t>Let us assume the general</w:t>
      </w:r>
      <w:r w:rsidR="00350F72">
        <w:t xml:space="preserve"> uncertain</w:t>
      </w:r>
      <w:r>
        <w:t xml:space="preserve"> dynamical system</w:t>
      </w:r>
    </w:p>
    <w:tbl>
      <w:tblPr>
        <w:tblStyle w:val="TableGrid"/>
        <w:tblW w:w="0" w:type="auto"/>
        <w:tblLook w:val="04A0" w:firstRow="1" w:lastRow="0" w:firstColumn="1" w:lastColumn="0" w:noHBand="0" w:noVBand="1"/>
      </w:tblPr>
      <w:tblGrid>
        <w:gridCol w:w="4472"/>
        <w:gridCol w:w="450"/>
      </w:tblGrid>
      <w:tr w:rsidR="00690347" w14:paraId="4149CE54" w14:textId="77777777" w:rsidTr="00690347">
        <w:tc>
          <w:tcPr>
            <w:tcW w:w="4472" w:type="dxa"/>
            <w:vAlign w:val="center"/>
          </w:tcPr>
          <w:p w14:paraId="2AA64E5B" w14:textId="1F2865B3" w:rsidR="00690347" w:rsidRPr="00690347" w:rsidRDefault="00000000" w:rsidP="00690347">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u</m:t>
                    </m:r>
                  </m:sub>
                </m:sSub>
              </m:oMath>
            </m:oMathPara>
          </w:p>
          <w:p w14:paraId="3A6E81D2" w14:textId="392A6580" w:rsidR="00690347" w:rsidRPr="00690347" w:rsidRDefault="00690347" w:rsidP="00690347">
            <m:oMathPara>
              <m:oMathParaPr>
                <m:jc m:val="center"/>
              </m:oMathParaPr>
              <m:oMath>
                <m:r>
                  <w:rPr>
                    <w:rFonts w:ascii="Cambria Math" w:hAnsi="Cambria Math"/>
                  </w:rPr>
                  <m:t>y=h(x,u</m:t>
                </m:r>
                <w:commentRangeStart w:id="1"/>
                <w:commentRangeEnd w:id="1"/>
                <m:r>
                  <m:rPr>
                    <m:sty m:val="p"/>
                  </m:rPr>
                  <w:rPr>
                    <w:rStyle w:val="CommentReference"/>
                  </w:rPr>
                  <w:commentReference w:id="1"/>
                </m:r>
                <m:r>
                  <w:rPr>
                    <w:rFonts w:ascii="Cambria Math" w:hAnsi="Cambria Math"/>
                  </w:rPr>
                  <m:t>)</m:t>
                </m:r>
              </m:oMath>
            </m:oMathPara>
          </w:p>
        </w:tc>
        <w:tc>
          <w:tcPr>
            <w:tcW w:w="450" w:type="dxa"/>
            <w:vAlign w:val="center"/>
          </w:tcPr>
          <w:p w14:paraId="3C77216B" w14:textId="77777777" w:rsidR="00690347" w:rsidRDefault="00690347" w:rsidP="00853155">
            <w:pPr>
              <w:pStyle w:val="BodyText"/>
              <w:ind w:firstLine="0"/>
              <w:jc w:val="center"/>
            </w:pPr>
            <w:r>
              <w:t>(1)</w:t>
            </w:r>
          </w:p>
        </w:tc>
      </w:tr>
    </w:tbl>
    <w:p w14:paraId="1393A95F" w14:textId="19898690" w:rsidR="00351841" w:rsidRDefault="00690347" w:rsidP="00690347">
      <w:pPr>
        <w:pStyle w:val="BodyText"/>
      </w:pPr>
      <w:r w:rsidRPr="00541DEF">
        <w:t xml:space="preserve">where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Pr="00541DEF">
        <w:t xml:space="preserve"> is the state vector</w:t>
      </w:r>
      <w:r>
        <w:t xml:space="preserve">, </w:t>
      </w:r>
      <m:oMath>
        <m:r>
          <w:rPr>
            <w:rFonts w:ascii="Cambria Math" w:hAnsi="Cambria Math"/>
          </w:rPr>
          <m:t>y</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y</m:t>
                </m:r>
              </m:sub>
            </m:sSub>
          </m:sup>
        </m:sSup>
      </m:oMath>
      <w:r w:rsidRPr="002E72BB">
        <w:t xml:space="preserve"> is the vector</w:t>
      </w:r>
      <w:r>
        <w:t xml:space="preserve"> of measurement</w:t>
      </w:r>
      <w:r w:rsidRPr="00541DEF">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Pr="00541DEF">
        <w:t xml:space="preserve"> </w:t>
      </w:r>
      <w:r>
        <w:t>are</w:t>
      </w:r>
      <w:r w:rsidRPr="00541DEF">
        <w:t xml:space="preserve"> the </w:t>
      </w:r>
      <w:r>
        <w:t xml:space="preserve">smooth </w:t>
      </w:r>
      <w:r w:rsidRPr="00541DEF">
        <w:t>nonlinear</w:t>
      </w:r>
      <w:r>
        <w:t xml:space="preserve"> vector fields on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,u)</m:t>
        </m:r>
      </m:oMath>
      <w:r>
        <w:t xml:space="preserve"> is a smooth function.</w:t>
      </w:r>
      <w:r w:rsidRPr="00541DEF">
        <w:t xml:space="preserve"> </w:t>
      </w:r>
      <w:r w:rsidR="00CC2B1F">
        <w:t xml:space="preserve">In this equation, </w:t>
      </w:r>
      <m:oMath>
        <m:sSub>
          <m:sSubPr>
            <m:ctrlPr>
              <w:rPr>
                <w:rFonts w:ascii="Cambria Math" w:hAnsi="Cambria Math"/>
                <w:i/>
              </w:rPr>
            </m:ctrlPr>
          </m:sSubPr>
          <m:e>
            <m:r>
              <w:rPr>
                <w:rFonts w:ascii="Cambria Math" w:hAnsi="Cambria Math"/>
              </w:rPr>
              <m:t>w</m:t>
            </m:r>
          </m:e>
          <m:sub>
            <m:r>
              <w:rPr>
                <w:rFonts w:ascii="Cambria Math" w:hAnsi="Cambria Math"/>
              </w:rPr>
              <m:t>u</m:t>
            </m:r>
          </m:sub>
        </m:sSub>
      </m:oMath>
      <w:r w:rsidR="00CC2B1F">
        <w:t xml:space="preserve"> is the external disturbances and it is assumed that is bounded between two limits. </w:t>
      </w:r>
      <w:r>
        <w:t xml:space="preserve">The equilibrium point for this nonlinear system is supposed as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e</m:t>
                </m:r>
              </m:sub>
            </m:sSub>
          </m:e>
        </m:d>
        <m:r>
          <m:rPr>
            <m:sty m:val="p"/>
          </m:rPr>
          <w:rPr>
            <w:rFonts w:ascii="Cambria Math" w:hAnsi="Cambria Math"/>
          </w:rPr>
          <m:t>=0</m:t>
        </m:r>
      </m:oMath>
      <w:r>
        <w:t xml:space="preserve">, </w:t>
      </w: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e</m:t>
                </m:r>
              </m:sub>
            </m:sSub>
          </m:e>
        </m:d>
        <m:r>
          <m:rPr>
            <m:sty m:val="p"/>
          </m:rPr>
          <w:rPr>
            <w:rFonts w:ascii="Cambria Math" w:hAnsi="Cambria Math"/>
          </w:rPr>
          <m:t>=0</m:t>
        </m:r>
      </m:oMath>
      <w:r>
        <w:t xml:space="preserve"> in which </w:t>
      </w:r>
      <m:oMath>
        <m:sSub>
          <m:sSubPr>
            <m:ctrlPr>
              <w:rPr>
                <w:rFonts w:ascii="Cambria Math" w:hAnsi="Cambria Math"/>
              </w:rPr>
            </m:ctrlPr>
          </m:sSubPr>
          <m:e>
            <m:r>
              <w:rPr>
                <w:rFonts w:ascii="Cambria Math" w:hAnsi="Cambria Math"/>
              </w:rPr>
              <m:t>x</m:t>
            </m:r>
          </m:e>
          <m:sub>
            <m:r>
              <w:rPr>
                <w:rFonts w:ascii="Cambria Math" w:hAnsi="Cambria Math"/>
              </w:rPr>
              <m:t>e</m:t>
            </m:r>
          </m:sub>
        </m:sSub>
      </m:oMath>
      <w:r>
        <w:t xml:space="preserve"> is the point of equilibrium. The aim of controller design is </w:t>
      </w:r>
      <w:r w:rsidR="00351841">
        <w:t xml:space="preserve">to determine a proper rule where the state output </w:t>
      </w:r>
      <m:oMath>
        <m:r>
          <w:rPr>
            <w:rFonts w:ascii="Cambria Math" w:hAnsi="Cambria Math"/>
          </w:rPr>
          <m:t>y</m:t>
        </m:r>
      </m:oMath>
      <w:r w:rsidR="00351841">
        <w:t xml:space="preserve"> follows the reference signal </w:t>
      </w:r>
      <m:oMath>
        <m:r>
          <w:rPr>
            <w:rFonts w:ascii="Cambria Math" w:hAnsi="Cambria Math"/>
          </w:rPr>
          <m:t>r</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y</m:t>
                </m:r>
              </m:sub>
            </m:sSub>
          </m:sup>
        </m:sSup>
      </m:oMath>
      <w:r w:rsidR="00351841">
        <w:t>. Therefore, the tracking can be obtained</w:t>
      </w:r>
    </w:p>
    <w:tbl>
      <w:tblPr>
        <w:tblStyle w:val="TableGrid"/>
        <w:tblW w:w="0" w:type="auto"/>
        <w:tblLook w:val="04A0" w:firstRow="1" w:lastRow="0" w:firstColumn="1" w:lastColumn="0" w:noHBand="0" w:noVBand="1"/>
      </w:tblPr>
      <w:tblGrid>
        <w:gridCol w:w="4472"/>
        <w:gridCol w:w="450"/>
      </w:tblGrid>
      <w:tr w:rsidR="00351841" w14:paraId="2D6414CE" w14:textId="77777777" w:rsidTr="00853155">
        <w:tc>
          <w:tcPr>
            <w:tcW w:w="4472" w:type="dxa"/>
            <w:vAlign w:val="center"/>
          </w:tcPr>
          <w:p w14:paraId="7129918A" w14:textId="6160BA75" w:rsidR="00351841" w:rsidRPr="00690347" w:rsidRDefault="00351841" w:rsidP="00853155">
            <m:oMathPara>
              <m:oMathParaPr>
                <m:jc m:val="center"/>
              </m:oMathParaPr>
              <m:oMath>
                <m:r>
                  <w:rPr>
                    <w:rFonts w:ascii="Cambria Math" w:hAnsi="Cambria Math"/>
                  </w:rPr>
                  <m:t>e=y-r</m:t>
                </m:r>
              </m:oMath>
            </m:oMathPara>
          </w:p>
        </w:tc>
        <w:tc>
          <w:tcPr>
            <w:tcW w:w="450" w:type="dxa"/>
            <w:vAlign w:val="center"/>
          </w:tcPr>
          <w:p w14:paraId="62C15198" w14:textId="64B6E3CF" w:rsidR="00351841" w:rsidRDefault="00351841" w:rsidP="00853155">
            <w:pPr>
              <w:pStyle w:val="BodyText"/>
              <w:ind w:firstLine="0"/>
              <w:jc w:val="center"/>
            </w:pPr>
            <w:r>
              <w:t>(2)</w:t>
            </w:r>
          </w:p>
        </w:tc>
      </w:tr>
    </w:tbl>
    <w:p w14:paraId="5A8E9B40" w14:textId="5FB7BDF0" w:rsidR="00690347" w:rsidRDefault="00351841" w:rsidP="00690347">
      <w:pPr>
        <w:pStyle w:val="BodyText"/>
      </w:pPr>
      <w:r>
        <w:t xml:space="preserve">To meet this objective, </w:t>
      </w:r>
      <w:r w:rsidR="009448AC" w:rsidRPr="009448AC">
        <w:t>Integral-type second order sliding mode controller</w:t>
      </w:r>
      <w:r w:rsidR="009448AC">
        <w:t xml:space="preserve"> is proposed based on considering </w:t>
      </w:r>
      <m:oMath>
        <m:r>
          <w:rPr>
            <w:rFonts w:ascii="Cambria Math" w:hAnsi="Cambria Math"/>
          </w:rPr>
          <m:t>u</m:t>
        </m:r>
      </m:oMath>
      <w:r w:rsidR="009448AC">
        <w:t xml:space="preserve"> in the function of </w:t>
      </w:r>
      <m:oMath>
        <m:r>
          <w:rPr>
            <w:rFonts w:ascii="Cambria Math" w:hAnsi="Cambria Math"/>
          </w:rPr>
          <m:t>h(x,u)</m:t>
        </m:r>
      </m:oMath>
      <w:r w:rsidR="00C03442">
        <w:t xml:space="preserve"> as </w:t>
      </w:r>
      <w:r w:rsidR="009448AC">
        <w:t>output.</w:t>
      </w:r>
    </w:p>
    <w:p w14:paraId="55CD84AC" w14:textId="769D1DE6" w:rsidR="00B02E56" w:rsidRDefault="00B02E56" w:rsidP="00B02E56">
      <w:pPr>
        <w:pStyle w:val="Heading2"/>
        <w:keepLines/>
        <w:numPr>
          <w:ilvl w:val="1"/>
          <w:numId w:val="0"/>
        </w:numPr>
        <w:tabs>
          <w:tab w:val="num" w:pos="360"/>
        </w:tabs>
        <w:autoSpaceDE/>
        <w:autoSpaceDN/>
        <w:ind w:left="288" w:hanging="288"/>
      </w:pPr>
      <w:r>
        <w:t>A.</w:t>
      </w:r>
      <w:r>
        <w:tab/>
        <w:t>First-order</w:t>
      </w:r>
      <w:r w:rsidRPr="00B02E56">
        <w:t xml:space="preserve"> Integral-type sliding mode </w:t>
      </w:r>
      <w:r>
        <w:t>surface</w:t>
      </w:r>
    </w:p>
    <w:p w14:paraId="107A3F82" w14:textId="3992F4FE" w:rsidR="00A9334D" w:rsidRDefault="00A37AFB" w:rsidP="008F78B9">
      <w:pPr>
        <w:pStyle w:val="BodyText"/>
      </w:pPr>
      <w:r>
        <w:t>Let us define the integral-type sliding mode surface</w:t>
      </w:r>
    </w:p>
    <w:tbl>
      <w:tblPr>
        <w:tblStyle w:val="TableGrid"/>
        <w:tblW w:w="0" w:type="auto"/>
        <w:tblLook w:val="04A0" w:firstRow="1" w:lastRow="0" w:firstColumn="1" w:lastColumn="0" w:noHBand="0" w:noVBand="1"/>
      </w:tblPr>
      <w:tblGrid>
        <w:gridCol w:w="4472"/>
        <w:gridCol w:w="450"/>
      </w:tblGrid>
      <w:tr w:rsidR="00A37AFB" w14:paraId="7030DCF3" w14:textId="77777777" w:rsidTr="001133CC">
        <w:tc>
          <w:tcPr>
            <w:tcW w:w="4698" w:type="dxa"/>
            <w:vAlign w:val="center"/>
          </w:tcPr>
          <w:p w14:paraId="4A432DA1" w14:textId="482D94DF" w:rsidR="00A37AFB" w:rsidRPr="00D643BC" w:rsidRDefault="00D643BC" w:rsidP="001133CC">
            <w:pPr>
              <w:jc w:val="center"/>
            </w:pPr>
            <m:oMathPara>
              <m:oMath>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q/</m:t>
                        </m:r>
                        <w:commentRangeStart w:id="2"/>
                        <w:commentRangeEnd w:id="2"/>
                        <m:r>
                          <m:rPr>
                            <m:sty m:val="p"/>
                          </m:rPr>
                          <w:rPr>
                            <w:rStyle w:val="CommentReference"/>
                          </w:rPr>
                          <w:commentReference w:id="2"/>
                        </m:r>
                        <m:r>
                          <w:rPr>
                            <w:rFonts w:ascii="Cambria Math" w:hAnsi="Cambria Math"/>
                          </w:rPr>
                          <m:t>p</m:t>
                        </m:r>
                      </m:sup>
                    </m:sSup>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acc>
                  <m:accPr>
                    <m:chr m:val="̇"/>
                    <m:ctrlPr>
                      <w:rPr>
                        <w:rFonts w:ascii="Cambria Math" w:hAnsi="Cambria Math"/>
                        <w:i/>
                      </w:rPr>
                    </m:ctrlPr>
                  </m:accPr>
                  <m:e>
                    <m:r>
                      <w:rPr>
                        <w:rFonts w:ascii="Cambria Math" w:hAnsi="Cambria Math"/>
                      </w:rPr>
                      <m:t>e</m:t>
                    </m:r>
                  </m:e>
                </m:acc>
              </m:oMath>
            </m:oMathPara>
          </w:p>
        </w:tc>
        <w:tc>
          <w:tcPr>
            <w:tcW w:w="450" w:type="dxa"/>
            <w:vAlign w:val="center"/>
          </w:tcPr>
          <w:p w14:paraId="0E3A5DE5" w14:textId="0ED24B3B" w:rsidR="00A37AFB" w:rsidRDefault="00D643BC" w:rsidP="001133CC">
            <w:pPr>
              <w:pStyle w:val="BodyText"/>
              <w:ind w:firstLine="0"/>
              <w:jc w:val="center"/>
            </w:pPr>
            <w:r>
              <w:t>(</w:t>
            </w:r>
            <w:r w:rsidR="00C03442">
              <w:t>3</w:t>
            </w:r>
            <w:r>
              <w:t>)</w:t>
            </w:r>
          </w:p>
        </w:tc>
      </w:tr>
    </w:tbl>
    <w:p w14:paraId="2A521189" w14:textId="10550C29" w:rsidR="00B02E56" w:rsidRDefault="00D643BC" w:rsidP="00B00A07">
      <w:pPr>
        <w:pStyle w:val="BodyText"/>
        <w:ind w:firstLine="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DF107D">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DF107D">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DF107D">
        <w:t xml:space="preserve"> are the PID-like positive gains for proportional, integral and differential error, respectively. In this equation, </w:t>
      </w:r>
      <m:oMath>
        <m:r>
          <w:rPr>
            <w:rFonts w:ascii="Cambria Math" w:hAnsi="Cambria Math"/>
          </w:rPr>
          <m:t>q</m:t>
        </m:r>
      </m:oMath>
      <w:r w:rsidR="00DF107D">
        <w:t xml:space="preserve"> and </w:t>
      </w:r>
      <m:oMath>
        <m:r>
          <w:rPr>
            <w:rFonts w:ascii="Cambria Math" w:hAnsi="Cambria Math"/>
          </w:rPr>
          <m:t>d</m:t>
        </m:r>
      </m:oMath>
      <w:r w:rsidR="00DF107D">
        <w:t xml:space="preserve"> are odd positive integer and </w:t>
      </w:r>
      <m:oMath>
        <m:r>
          <w:rPr>
            <w:rFonts w:ascii="Cambria Math" w:hAnsi="Cambria Math"/>
          </w:rPr>
          <m:t>q</m:t>
        </m:r>
      </m:oMath>
      <w:r w:rsidR="002B7C4B">
        <w:t xml:space="preserve"> is larger than </w:t>
      </w:r>
      <m:oMath>
        <m:r>
          <w:rPr>
            <w:rFonts w:ascii="Cambria Math" w:hAnsi="Cambria Math"/>
          </w:rPr>
          <m:t>p</m:t>
        </m:r>
      </m:oMath>
      <w:r w:rsidR="002B7C4B">
        <w:t>.</w:t>
      </w:r>
      <w:r w:rsidR="00087B65">
        <w:t xml:space="preserve"> By this way, the tracking error is indicated in </w:t>
      </w:r>
      <m:oMath>
        <m:r>
          <w:rPr>
            <w:rFonts w:ascii="Cambria Math" w:hAnsi="Cambria Math"/>
          </w:rPr>
          <m:t>e.</m:t>
        </m:r>
      </m:oMath>
      <w:r w:rsidR="00087B65">
        <w:t xml:space="preserve"> </w:t>
      </w:r>
      <w:r w:rsidR="00B00A07">
        <w:t xml:space="preserve">In Eq. 1, if it considered that </w:t>
      </w:r>
      <m:oMath>
        <m:r>
          <w:rPr>
            <w:rFonts w:ascii="Cambria Math" w:hAnsi="Cambria Math"/>
          </w:rPr>
          <m:t>y=x</m:t>
        </m:r>
      </m:oMath>
      <w:r w:rsidR="00B00A07">
        <w:t xml:space="preserve"> and the input controller is defined as</w:t>
      </w:r>
    </w:p>
    <w:tbl>
      <w:tblPr>
        <w:tblStyle w:val="TableGrid"/>
        <w:tblW w:w="0" w:type="auto"/>
        <w:tblLook w:val="04A0" w:firstRow="1" w:lastRow="0" w:firstColumn="1" w:lastColumn="0" w:noHBand="0" w:noVBand="1"/>
      </w:tblPr>
      <w:tblGrid>
        <w:gridCol w:w="4472"/>
        <w:gridCol w:w="450"/>
      </w:tblGrid>
      <w:tr w:rsidR="00B00A07" w14:paraId="00AEEADC" w14:textId="77777777" w:rsidTr="00223096">
        <w:tc>
          <w:tcPr>
            <w:tcW w:w="4698" w:type="dxa"/>
            <w:vAlign w:val="center"/>
          </w:tcPr>
          <w:p w14:paraId="4CD6FB7F" w14:textId="4AEB5289" w:rsidR="00B00A07" w:rsidRPr="00B00A07" w:rsidRDefault="00000000" w:rsidP="00B00A07">
            <w:pPr>
              <w:jc w:val="cente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g(x)</m:t>
                    </m:r>
                  </m:den>
                </m:f>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u-ks</m:t>
                    </m:r>
                    <w:commentRangeStart w:id="3"/>
                    <w:commentRangeEnd w:id="3"/>
                    <m:r>
                      <m:rPr>
                        <m:sty m:val="p"/>
                      </m:rPr>
                      <w:rPr>
                        <w:rStyle w:val="CommentReference"/>
                      </w:rPr>
                      <w:commentReference w:id="3"/>
                    </m:r>
                  </m:e>
                </m:d>
              </m:oMath>
            </m:oMathPara>
          </w:p>
        </w:tc>
        <w:tc>
          <w:tcPr>
            <w:tcW w:w="450" w:type="dxa"/>
            <w:vAlign w:val="center"/>
          </w:tcPr>
          <w:p w14:paraId="6E7B0655" w14:textId="059163B2" w:rsidR="00B00A07" w:rsidRDefault="00B00A07" w:rsidP="00223096">
            <w:pPr>
              <w:pStyle w:val="BodyText"/>
              <w:ind w:firstLine="0"/>
              <w:jc w:val="center"/>
            </w:pPr>
            <w:r>
              <w:t>(4)</w:t>
            </w:r>
          </w:p>
        </w:tc>
      </w:tr>
    </w:tbl>
    <w:p w14:paraId="29C02EFA" w14:textId="51807396" w:rsidR="00B00A07" w:rsidRDefault="00B00A07" w:rsidP="00B00A07">
      <w:pPr>
        <w:pStyle w:val="BodyText"/>
        <w:ind w:firstLine="0"/>
      </w:pPr>
      <w:r>
        <w:t>Then, it can be shown that the integral-type sliding surface defined in (3) will converge to zero.</w:t>
      </w:r>
    </w:p>
    <w:p w14:paraId="47DF120A" w14:textId="21D4F1F9" w:rsidR="00B00A07" w:rsidRDefault="00B00A07" w:rsidP="00B00A07">
      <w:pPr>
        <w:pStyle w:val="BodyText"/>
        <w:ind w:firstLine="0"/>
      </w:pPr>
      <w:r>
        <w:rPr>
          <w:b/>
          <w:bCs/>
        </w:rPr>
        <w:t>Proof</w:t>
      </w:r>
      <w:r w:rsidRPr="00350F72">
        <w:rPr>
          <w:b/>
          <w:bCs/>
        </w:rPr>
        <w:t>:</w:t>
      </w:r>
      <w:r>
        <w:t xml:space="preserve"> Let us consider the </w:t>
      </w:r>
      <w:proofErr w:type="spellStart"/>
      <w:r>
        <w:t>Lyapanov</w:t>
      </w:r>
      <w:proofErr w:type="spellEnd"/>
      <w:r>
        <w:t xml:space="preserve"> function as follows</w:t>
      </w:r>
    </w:p>
    <w:tbl>
      <w:tblPr>
        <w:tblStyle w:val="TableGrid"/>
        <w:tblW w:w="0" w:type="auto"/>
        <w:tblLook w:val="04A0" w:firstRow="1" w:lastRow="0" w:firstColumn="1" w:lastColumn="0" w:noHBand="0" w:noVBand="1"/>
      </w:tblPr>
      <w:tblGrid>
        <w:gridCol w:w="4472"/>
        <w:gridCol w:w="450"/>
      </w:tblGrid>
      <w:tr w:rsidR="00B00A07" w14:paraId="2E0BB1DB" w14:textId="77777777" w:rsidTr="00223096">
        <w:tc>
          <w:tcPr>
            <w:tcW w:w="4698" w:type="dxa"/>
            <w:vAlign w:val="center"/>
          </w:tcPr>
          <w:p w14:paraId="7DCF33C9" w14:textId="13AD23AE" w:rsidR="00B00A07" w:rsidRPr="00B00A07" w:rsidRDefault="00000000" w:rsidP="00B00A07">
            <w:pP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450" w:type="dxa"/>
            <w:vAlign w:val="center"/>
          </w:tcPr>
          <w:p w14:paraId="1102A8A0" w14:textId="183E2642" w:rsidR="00B00A07" w:rsidRDefault="00B00A07" w:rsidP="00223096">
            <w:pPr>
              <w:pStyle w:val="BodyText"/>
              <w:ind w:firstLine="0"/>
              <w:jc w:val="center"/>
            </w:pPr>
            <w:r>
              <w:t>(5)</w:t>
            </w:r>
          </w:p>
        </w:tc>
      </w:tr>
    </w:tbl>
    <w:p w14:paraId="5D1DFB50" w14:textId="4DEDE847" w:rsidR="00B00A07" w:rsidRDefault="00B00A07" w:rsidP="00B00A07">
      <w:pPr>
        <w:pStyle w:val="BodyText"/>
      </w:pPr>
      <w:r>
        <w:t xml:space="preserve">Therefore, the first derivative of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yields</w:t>
      </w:r>
    </w:p>
    <w:tbl>
      <w:tblPr>
        <w:tblStyle w:val="TableGrid"/>
        <w:tblW w:w="0" w:type="auto"/>
        <w:tblLook w:val="04A0" w:firstRow="1" w:lastRow="0" w:firstColumn="1" w:lastColumn="0" w:noHBand="0" w:noVBand="1"/>
      </w:tblPr>
      <w:tblGrid>
        <w:gridCol w:w="4472"/>
        <w:gridCol w:w="450"/>
      </w:tblGrid>
      <w:tr w:rsidR="00B00A07" w14:paraId="2E1477EE" w14:textId="77777777" w:rsidTr="00223096">
        <w:tc>
          <w:tcPr>
            <w:tcW w:w="4698" w:type="dxa"/>
            <w:vAlign w:val="center"/>
          </w:tcPr>
          <w:p w14:paraId="598B5DD4" w14:textId="17BE1CD2" w:rsidR="00B00A07" w:rsidRPr="00B00A07" w:rsidRDefault="00000000" w:rsidP="00223096">
            <w:pPr>
              <w:rPr>
                <w:rFonts w:eastAsiaTheme="minorEastAsia"/>
              </w:rPr>
            </w:pPr>
            <m:oMathPara>
              <m:oMathParaPr>
                <m:jc m:val="center"/>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oMath>
            </m:oMathPara>
          </w:p>
        </w:tc>
        <w:tc>
          <w:tcPr>
            <w:tcW w:w="450" w:type="dxa"/>
            <w:vAlign w:val="center"/>
          </w:tcPr>
          <w:p w14:paraId="529B623C" w14:textId="1E1C0FC6" w:rsidR="00B00A07" w:rsidRDefault="00B00A07" w:rsidP="00223096">
            <w:pPr>
              <w:pStyle w:val="BodyText"/>
              <w:ind w:firstLine="0"/>
              <w:jc w:val="center"/>
            </w:pPr>
            <w:r>
              <w:t>(6)</w:t>
            </w:r>
          </w:p>
        </w:tc>
      </w:tr>
    </w:tbl>
    <w:p w14:paraId="3AF4B9DE" w14:textId="27C52F0F" w:rsidR="00B00A07" w:rsidRDefault="00B00A07" w:rsidP="00B00A07">
      <w:pPr>
        <w:pStyle w:val="BodyText"/>
        <w:ind w:firstLine="0"/>
      </w:pPr>
      <w:r>
        <w:t xml:space="preserve">In Eq. (6), it is required to compute </w:t>
      </w:r>
      <m:oMath>
        <m:acc>
          <m:accPr>
            <m:chr m:val="̇"/>
            <m:ctrlPr>
              <w:rPr>
                <w:rFonts w:ascii="Cambria Math" w:hAnsi="Cambria Math"/>
                <w:i/>
              </w:rPr>
            </m:ctrlPr>
          </m:accPr>
          <m:e>
            <m:r>
              <w:rPr>
                <w:rFonts w:ascii="Cambria Math" w:hAnsi="Cambria Math"/>
              </w:rPr>
              <m:t>s</m:t>
            </m:r>
          </m:e>
        </m:acc>
      </m:oMath>
      <w:r w:rsidR="0023495A">
        <w:t xml:space="preserve">. According to (3), the first derivative of (3) cab be obtained </w:t>
      </w:r>
    </w:p>
    <w:tbl>
      <w:tblPr>
        <w:tblStyle w:val="TableGrid"/>
        <w:tblW w:w="0" w:type="auto"/>
        <w:tblLook w:val="04A0" w:firstRow="1" w:lastRow="0" w:firstColumn="1" w:lastColumn="0" w:noHBand="0" w:noVBand="1"/>
      </w:tblPr>
      <w:tblGrid>
        <w:gridCol w:w="4472"/>
        <w:gridCol w:w="450"/>
      </w:tblGrid>
      <w:tr w:rsidR="0023495A" w14:paraId="2EAC32B0" w14:textId="77777777" w:rsidTr="00223096">
        <w:tc>
          <w:tcPr>
            <w:tcW w:w="4698" w:type="dxa"/>
            <w:vAlign w:val="center"/>
          </w:tcPr>
          <w:p w14:paraId="07E9716F" w14:textId="57DC3797" w:rsidR="0023495A" w:rsidRPr="00B00A07" w:rsidRDefault="00000000" w:rsidP="00223096">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sup>
                </m:sSup>
              </m:oMath>
            </m:oMathPara>
          </w:p>
        </w:tc>
        <w:tc>
          <w:tcPr>
            <w:tcW w:w="450" w:type="dxa"/>
            <w:vAlign w:val="center"/>
          </w:tcPr>
          <w:p w14:paraId="21B16CEB" w14:textId="5C099CFA" w:rsidR="0023495A" w:rsidRDefault="0023495A" w:rsidP="00223096">
            <w:pPr>
              <w:pStyle w:val="BodyText"/>
              <w:ind w:firstLine="0"/>
              <w:jc w:val="center"/>
            </w:pPr>
            <w:r>
              <w:t>(7)</w:t>
            </w:r>
          </w:p>
        </w:tc>
      </w:tr>
    </w:tbl>
    <w:p w14:paraId="52AB124A" w14:textId="2CA67F27" w:rsidR="0023495A" w:rsidRDefault="0023495A" w:rsidP="00B00A07">
      <w:pPr>
        <w:pStyle w:val="BodyText"/>
        <w:ind w:firstLine="0"/>
      </w:pPr>
      <w:r>
        <w:t xml:space="preserve">By assuming </w:t>
      </w:r>
      <m:oMath>
        <m:r>
          <w:rPr>
            <w:rFonts w:ascii="Cambria Math" w:hAnsi="Cambria Math"/>
          </w:rPr>
          <m:t>y=x</m:t>
        </m:r>
      </m:oMath>
      <w:r>
        <w:t xml:space="preserve">, one can obtain </w:t>
      </w:r>
      <m:oMath>
        <m:acc>
          <m:accPr>
            <m:chr m:val="̈"/>
            <m:ctrlPr>
              <w:rPr>
                <w:rFonts w:ascii="Cambria Math" w:eastAsiaTheme="minorEastAsia" w:hAnsi="Cambria Math"/>
                <w:i/>
              </w:rPr>
            </m:ctrlPr>
          </m:accPr>
          <m:e>
            <m:r>
              <w:rPr>
                <w:rFonts w:ascii="Cambria Math" w:eastAsiaTheme="minorEastAsia" w:hAnsi="Cambria Math"/>
              </w:rPr>
              <m:t>e</m:t>
            </m:r>
          </m:e>
        </m:acc>
      </m:oMath>
      <w:r>
        <w:t xml:space="preserve"> from second-order derivation of Eq. (2) and replacing Eq. (1).</w:t>
      </w:r>
    </w:p>
    <w:tbl>
      <w:tblPr>
        <w:tblStyle w:val="TableGrid"/>
        <w:tblW w:w="0" w:type="auto"/>
        <w:tblLook w:val="04A0" w:firstRow="1" w:lastRow="0" w:firstColumn="1" w:lastColumn="0" w:noHBand="0" w:noVBand="1"/>
      </w:tblPr>
      <w:tblGrid>
        <w:gridCol w:w="4472"/>
        <w:gridCol w:w="450"/>
      </w:tblGrid>
      <w:tr w:rsidR="0023495A" w14:paraId="38C04F7D" w14:textId="77777777" w:rsidTr="00223096">
        <w:tc>
          <w:tcPr>
            <w:tcW w:w="4698" w:type="dxa"/>
            <w:vAlign w:val="center"/>
          </w:tcPr>
          <w:p w14:paraId="4FBB6024" w14:textId="454D1596" w:rsidR="0023495A" w:rsidRPr="00B00A07" w:rsidRDefault="00000000" w:rsidP="00223096">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u+g</m:t>
                    </m:r>
                    <m:d>
                      <m:dPr>
                        <m:ctrlPr>
                          <w:rPr>
                            <w:rFonts w:ascii="Cambria Math" w:eastAsiaTheme="minorEastAsia" w:hAnsi="Cambria Math"/>
                            <w:i/>
                          </w:rPr>
                        </m:ctrlPr>
                      </m:dPr>
                      <m:e>
                        <m:r>
                          <w:rPr>
                            <w:rFonts w:ascii="Cambria Math" w:eastAsiaTheme="minorEastAsia" w:hAnsi="Cambria Math"/>
                          </w:rPr>
                          <m:t>x</m:t>
                        </m:r>
                      </m:e>
                    </m:d>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u</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oMath>
            </m:oMathPara>
          </w:p>
        </w:tc>
        <w:tc>
          <w:tcPr>
            <w:tcW w:w="450" w:type="dxa"/>
            <w:vAlign w:val="center"/>
          </w:tcPr>
          <w:p w14:paraId="62643133" w14:textId="1EB6DFAB" w:rsidR="0023495A" w:rsidRDefault="0023495A" w:rsidP="00223096">
            <w:pPr>
              <w:pStyle w:val="BodyText"/>
              <w:ind w:firstLine="0"/>
              <w:jc w:val="center"/>
            </w:pPr>
            <w:r>
              <w:t>(8)</w:t>
            </w:r>
          </w:p>
        </w:tc>
      </w:tr>
    </w:tbl>
    <w:p w14:paraId="01539030" w14:textId="3FD3FB72" w:rsidR="00B00A07" w:rsidRDefault="0023495A" w:rsidP="00B00A07">
      <w:pPr>
        <w:pStyle w:val="BodyText"/>
        <w:ind w:firstLine="0"/>
      </w:pPr>
      <w:r>
        <w:t xml:space="preserve">Consequently, using </w:t>
      </w:r>
      <w:proofErr w:type="spellStart"/>
      <w:r>
        <w:t>Eqs</w:t>
      </w:r>
      <w:proofErr w:type="spellEnd"/>
      <w:r>
        <w:t xml:space="preserve">. (7), (8) and (6),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t xml:space="preserve"> can be calculated.</w:t>
      </w:r>
    </w:p>
    <w:tbl>
      <w:tblPr>
        <w:tblStyle w:val="TableGrid"/>
        <w:tblW w:w="0" w:type="auto"/>
        <w:tblLook w:val="04A0" w:firstRow="1" w:lastRow="0" w:firstColumn="1" w:lastColumn="0" w:noHBand="0" w:noVBand="1"/>
      </w:tblPr>
      <w:tblGrid>
        <w:gridCol w:w="4472"/>
        <w:gridCol w:w="450"/>
      </w:tblGrid>
      <w:tr w:rsidR="0023495A" w14:paraId="625C34C9" w14:textId="77777777" w:rsidTr="00621AE2">
        <w:tc>
          <w:tcPr>
            <w:tcW w:w="4472" w:type="dxa"/>
            <w:vAlign w:val="center"/>
          </w:tcPr>
          <w:p w14:paraId="48D9392A" w14:textId="3D03E415" w:rsidR="0023495A" w:rsidRPr="0023495A" w:rsidRDefault="00000000" w:rsidP="0023495A">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sup>
                    </m:sSup>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u+g</m:t>
                        </m:r>
                        <m:d>
                          <m:dPr>
                            <m:ctrlPr>
                              <w:rPr>
                                <w:rFonts w:ascii="Cambria Math" w:eastAsiaTheme="minorEastAsia" w:hAnsi="Cambria Math"/>
                                <w:i/>
                              </w:rPr>
                            </m:ctrlPr>
                          </m:dPr>
                          <m:e>
                            <m:r>
                              <w:rPr>
                                <w:rFonts w:ascii="Cambria Math" w:eastAsiaTheme="minorEastAsia" w:hAnsi="Cambria Math"/>
                              </w:rPr>
                              <m:t>x</m:t>
                            </m:r>
                          </m:e>
                        </m:d>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u</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sup>
                    </m:sSup>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u+g</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g(x)</m:t>
                                </m:r>
                              </m:den>
                            </m:f>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u-ks</m:t>
                                </m:r>
                              </m:e>
                            </m:d>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u</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sup>
                    </m:sSup>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&lt;0</m:t>
                </m:r>
              </m:oMath>
            </m:oMathPara>
          </w:p>
        </w:tc>
        <w:tc>
          <w:tcPr>
            <w:tcW w:w="450" w:type="dxa"/>
            <w:vAlign w:val="center"/>
          </w:tcPr>
          <w:p w14:paraId="5072E230" w14:textId="759BDBFC" w:rsidR="0023495A" w:rsidRDefault="0023495A" w:rsidP="00223096">
            <w:pPr>
              <w:pStyle w:val="BodyText"/>
              <w:ind w:firstLine="0"/>
              <w:jc w:val="center"/>
            </w:pPr>
            <w:r>
              <w:t>(9)</w:t>
            </w:r>
          </w:p>
        </w:tc>
      </w:tr>
    </w:tbl>
    <w:p w14:paraId="42621C01" w14:textId="16F30551" w:rsidR="0023495A" w:rsidRDefault="00621AE2" w:rsidP="00B00A07">
      <w:pPr>
        <w:pStyle w:val="BodyText"/>
        <w:ind w:firstLine="0"/>
      </w:pPr>
      <w:r>
        <w:t>The above formulation demonstrates that when the error trajectory reaches the sliding surface (3), the signal of error will asymptotically converge to the origin. Due to the fact that the error is bounded, and the stability function is positive, the above proof shows that the Lyapunov function will converge to zero.</w:t>
      </w:r>
      <w:r w:rsidRPr="00621AE2">
        <w:t xml:space="preserve"> </w:t>
      </w:r>
      <w:r>
        <w:t xml:space="preserve">According to continuity of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t xml:space="preserve"> and convergency of it to zero, one can use </w:t>
      </w:r>
      <w:proofErr w:type="spellStart"/>
      <w:r>
        <w:t>Barbalat</w:t>
      </w:r>
      <w:proofErr w:type="spellEnd"/>
      <w:r>
        <w:t xml:space="preserve"> lemma and conclude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acc>
              <m:accPr>
                <m:chr m:val="̇"/>
                <m:ctrlPr>
                  <w:rPr>
                    <w:rFonts w:ascii="Cambria Math" w:hAnsi="Cambria Math"/>
                    <w:i/>
                  </w:rPr>
                </m:ctrlPr>
              </m:accPr>
              <m:e>
                <m:r>
                  <w:rPr>
                    <w:rFonts w:ascii="Cambria Math" w:hAnsi="Cambria Math"/>
                  </w:rPr>
                  <m:t>e</m:t>
                </m:r>
              </m:e>
            </m:acc>
          </m:e>
        </m:func>
        <m:r>
          <w:rPr>
            <w:rFonts w:ascii="Cambria Math" w:hAnsi="Cambria Math"/>
          </w:rPr>
          <m:t>=0</m:t>
        </m:r>
      </m:oMath>
      <w:r>
        <w:t xml:space="preserve">. </w:t>
      </w:r>
      <w:commentRangeStart w:id="4"/>
      <w:r>
        <w:t>Consequently</w:t>
      </w:r>
      <w:commentRangeEnd w:id="4"/>
      <w:r w:rsidR="00CE387B">
        <w:rPr>
          <w:rStyle w:val="CommentReference"/>
          <w:rFonts w:eastAsia="Times New Roman"/>
          <w:spacing w:val="0"/>
        </w:rPr>
        <w:commentReference w:id="4"/>
      </w:r>
      <w:r>
        <w:t xml:space="preserve">, we have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e>
        </m:func>
        <m:r>
          <w:rPr>
            <w:rFonts w:ascii="Cambria Math" w:hAnsi="Cambria Math"/>
          </w:rPr>
          <m:t>=0</m:t>
        </m:r>
      </m:oMath>
    </w:p>
    <w:p w14:paraId="3CE327BB" w14:textId="24CB9C41" w:rsidR="00A9334D" w:rsidRDefault="00B02E56" w:rsidP="00691725">
      <w:pPr>
        <w:pStyle w:val="Heading2"/>
        <w:keepLines/>
        <w:numPr>
          <w:ilvl w:val="1"/>
          <w:numId w:val="0"/>
        </w:numPr>
        <w:tabs>
          <w:tab w:val="num" w:pos="360"/>
        </w:tabs>
        <w:autoSpaceDE/>
        <w:autoSpaceDN/>
        <w:ind w:left="288" w:hanging="288"/>
      </w:pPr>
      <w:r>
        <w:lastRenderedPageBreak/>
        <w:t>B</w:t>
      </w:r>
      <w:r w:rsidR="00A9334D">
        <w:t>.</w:t>
      </w:r>
      <w:r w:rsidR="00A9334D">
        <w:tab/>
      </w:r>
      <w:bookmarkStart w:id="5" w:name="_Hlk112167796"/>
      <w:r>
        <w:t>Second-order</w:t>
      </w:r>
      <w:r w:rsidRPr="00B02E56">
        <w:t xml:space="preserve"> Integral-type sliding mode </w:t>
      </w:r>
      <w:r>
        <w:t>surface</w:t>
      </w:r>
      <w:bookmarkEnd w:id="5"/>
    </w:p>
    <w:p w14:paraId="2658F30F" w14:textId="7DB491F6" w:rsidR="00A9334D" w:rsidRDefault="00453D59" w:rsidP="00A9334D">
      <w:pPr>
        <w:pStyle w:val="BodyText"/>
      </w:pPr>
      <w:r>
        <w:t xml:space="preserve"> </w:t>
      </w:r>
      <w:r w:rsidR="00691725">
        <w:t xml:space="preserve">In this section, we want to introduce </w:t>
      </w:r>
      <w:r w:rsidR="00691725" w:rsidRPr="00691725">
        <w:t>Second-order Integral-type sliding mode surface</w:t>
      </w:r>
      <w:r w:rsidR="00691725">
        <w:t xml:space="preserve">. In this approach, the algorithm is designed to force both </w:t>
      </w:r>
      <m:oMath>
        <m:r>
          <w:rPr>
            <w:rFonts w:ascii="Cambria Math" w:hAnsi="Cambria Math"/>
          </w:rPr>
          <m:t>s</m:t>
        </m:r>
      </m:oMath>
      <w:r w:rsidR="00691725">
        <w:t xml:space="preserve"> and </w:t>
      </w:r>
      <m:oMath>
        <m:acc>
          <m:accPr>
            <m:chr m:val="̇"/>
            <m:ctrlPr>
              <w:rPr>
                <w:rFonts w:ascii="Cambria Math" w:hAnsi="Cambria Math"/>
                <w:i/>
              </w:rPr>
            </m:ctrlPr>
          </m:accPr>
          <m:e>
            <m:r>
              <w:rPr>
                <w:rFonts w:ascii="Cambria Math" w:hAnsi="Cambria Math"/>
              </w:rPr>
              <m:t>s</m:t>
            </m:r>
          </m:e>
        </m:acc>
      </m:oMath>
      <w:r w:rsidR="00691725">
        <w:t xml:space="preserve"> to zero. By this definition, the associated surface is proposed as follows </w:t>
      </w:r>
    </w:p>
    <w:tbl>
      <w:tblPr>
        <w:tblStyle w:val="TableGrid"/>
        <w:tblW w:w="0" w:type="auto"/>
        <w:tblLook w:val="04A0" w:firstRow="1" w:lastRow="0" w:firstColumn="1" w:lastColumn="0" w:noHBand="0" w:noVBand="1"/>
      </w:tblPr>
      <w:tblGrid>
        <w:gridCol w:w="4376"/>
        <w:gridCol w:w="546"/>
      </w:tblGrid>
      <w:tr w:rsidR="00691725" w14:paraId="7D674337" w14:textId="77777777" w:rsidTr="00853155">
        <w:tc>
          <w:tcPr>
            <w:tcW w:w="4698" w:type="dxa"/>
            <w:vAlign w:val="center"/>
          </w:tcPr>
          <w:p w14:paraId="13D27583" w14:textId="63CF36A8" w:rsidR="00691725" w:rsidRPr="00D643BC" w:rsidRDefault="00000000" w:rsidP="00853155">
            <w:pPr>
              <w:jc w:val="center"/>
            </w:pPr>
            <m:oMathPara>
              <m:oMath>
                <m:acc>
                  <m:accPr>
                    <m:chr m:val="̇"/>
                    <m:ctrlPr>
                      <w:rPr>
                        <w:rFonts w:ascii="Cambria Math" w:hAnsi="Cambria Math"/>
                        <w:i/>
                      </w:rPr>
                    </m:ctrlPr>
                  </m:accPr>
                  <m:e>
                    <m:r>
                      <w:rPr>
                        <w:rFonts w:ascii="Cambria Math" w:hAnsi="Cambria Math"/>
                      </w:rPr>
                      <m:t>s</m:t>
                    </m:r>
                  </m:e>
                </m:acc>
                <m:r>
                  <w:rPr>
                    <w:rFonts w:ascii="Cambria Math" w:hAnsi="Cambria Math"/>
                  </w:rPr>
                  <m:t>+bs=</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q/p</m:t>
                        </m:r>
                      </m:sup>
                    </m:sSup>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acc>
                  <m:accPr>
                    <m:chr m:val="̇"/>
                    <m:ctrlPr>
                      <w:rPr>
                        <w:rFonts w:ascii="Cambria Math" w:hAnsi="Cambria Math"/>
                        <w:i/>
                      </w:rPr>
                    </m:ctrlPr>
                  </m:accPr>
                  <m:e>
                    <m:r>
                      <w:rPr>
                        <w:rFonts w:ascii="Cambria Math" w:hAnsi="Cambria Math"/>
                      </w:rPr>
                      <m:t>e</m:t>
                    </m:r>
                  </m:e>
                </m:acc>
              </m:oMath>
            </m:oMathPara>
          </w:p>
        </w:tc>
        <w:tc>
          <w:tcPr>
            <w:tcW w:w="450" w:type="dxa"/>
            <w:vAlign w:val="center"/>
          </w:tcPr>
          <w:p w14:paraId="0BF2D1CC" w14:textId="42824792" w:rsidR="00691725" w:rsidRDefault="00691725" w:rsidP="00853155">
            <w:pPr>
              <w:pStyle w:val="BodyText"/>
              <w:ind w:firstLine="0"/>
              <w:jc w:val="center"/>
            </w:pPr>
            <w:r>
              <w:t>(</w:t>
            </w:r>
            <w:r w:rsidR="00C03442">
              <w:t>10</w:t>
            </w:r>
            <w:r>
              <w:t>)</w:t>
            </w:r>
          </w:p>
        </w:tc>
      </w:tr>
    </w:tbl>
    <w:p w14:paraId="13508A33" w14:textId="44D85652" w:rsidR="00691725" w:rsidRDefault="00691725" w:rsidP="00A9334D">
      <w:pPr>
        <w:pStyle w:val="BodyText"/>
      </w:pPr>
      <w:r>
        <w:t xml:space="preserve">Where </w:t>
      </w:r>
      <m:oMath>
        <m:r>
          <w:rPr>
            <w:rFonts w:ascii="Cambria Math" w:hAnsi="Cambria Math"/>
          </w:rPr>
          <m:t>b</m:t>
        </m:r>
      </m:oMath>
      <w:r>
        <w:t xml:space="preserve"> is a positive constant to make assure declination of </w:t>
      </w:r>
      <m:oMath>
        <m:r>
          <w:rPr>
            <w:rFonts w:ascii="Cambria Math" w:hAnsi="Cambria Math"/>
          </w:rPr>
          <m:t>s</m:t>
        </m:r>
      </m:oMath>
      <w:r>
        <w:t xml:space="preserve">. </w:t>
      </w:r>
      <w:r w:rsidR="0066004F">
        <w:t>Differentiating of above surface (7), one obtains</w:t>
      </w:r>
      <w:r w:rsidR="00D1049B">
        <w:t xml:space="preserve"> </w:t>
      </w:r>
    </w:p>
    <w:tbl>
      <w:tblPr>
        <w:tblStyle w:val="TableGrid"/>
        <w:tblW w:w="0" w:type="auto"/>
        <w:tblLook w:val="04A0" w:firstRow="1" w:lastRow="0" w:firstColumn="1" w:lastColumn="0" w:noHBand="0" w:noVBand="1"/>
      </w:tblPr>
      <w:tblGrid>
        <w:gridCol w:w="4376"/>
        <w:gridCol w:w="546"/>
      </w:tblGrid>
      <w:tr w:rsidR="0066004F" w14:paraId="5015BFD4" w14:textId="77777777" w:rsidTr="00853155">
        <w:tc>
          <w:tcPr>
            <w:tcW w:w="4698" w:type="dxa"/>
            <w:vAlign w:val="center"/>
          </w:tcPr>
          <w:p w14:paraId="7259C1DB" w14:textId="30D36632" w:rsidR="0066004F" w:rsidRPr="00442A9C" w:rsidRDefault="00000000" w:rsidP="0066004F">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q/p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acc>
                  <m:accPr>
                    <m:chr m:val="̈"/>
                    <m:ctrlPr>
                      <w:rPr>
                        <w:rFonts w:ascii="Cambria Math" w:eastAsiaTheme="minorEastAsia" w:hAnsi="Cambria Math"/>
                        <w:i/>
                      </w:rPr>
                    </m:ctrlPr>
                  </m:accPr>
                  <m:e>
                    <m:r>
                      <w:rPr>
                        <w:rFonts w:ascii="Cambria Math" w:eastAsiaTheme="minorEastAsia" w:hAnsi="Cambria Math"/>
                      </w:rPr>
                      <m:t>e</m:t>
                    </m:r>
                  </m:e>
                </m:acc>
              </m:oMath>
            </m:oMathPara>
          </w:p>
        </w:tc>
        <w:tc>
          <w:tcPr>
            <w:tcW w:w="450" w:type="dxa"/>
            <w:vAlign w:val="center"/>
          </w:tcPr>
          <w:p w14:paraId="786EDCB3" w14:textId="2C349C7D" w:rsidR="0066004F" w:rsidRDefault="0066004F" w:rsidP="00853155">
            <w:pPr>
              <w:pStyle w:val="BodyText"/>
              <w:ind w:firstLine="0"/>
              <w:jc w:val="center"/>
            </w:pPr>
            <w:r>
              <w:t>(</w:t>
            </w:r>
            <w:r w:rsidR="00C03442">
              <w:t>11</w:t>
            </w:r>
            <w:r>
              <w:t>)</w:t>
            </w:r>
          </w:p>
        </w:tc>
      </w:tr>
    </w:tbl>
    <w:p w14:paraId="5364F3BB" w14:textId="66CC8C4C" w:rsidR="0066004F" w:rsidRDefault="0066004F" w:rsidP="00A9334D">
      <w:pPr>
        <w:pStyle w:val="BodyText"/>
      </w:pPr>
      <w:r>
        <w:t xml:space="preserve">Therefore, the condition of </w:t>
      </w:r>
      <m:oMath>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=0</m:t>
        </m:r>
      </m:oMath>
      <w:r>
        <w:t xml:space="preserve"> is the necessary condition for keeping the tracking error remained on zero. Consequently, one can obtain the same result as the characteristic of </w:t>
      </w:r>
      <w:r w:rsidR="00BF1EAB">
        <w:t>Eq. (</w:t>
      </w:r>
      <w:r w:rsidR="00C03442">
        <w:t>9</w:t>
      </w:r>
      <w:r w:rsidR="00BF1EAB">
        <w:t>).</w:t>
      </w:r>
    </w:p>
    <w:p w14:paraId="72B4A8B3" w14:textId="7FC4062C" w:rsidR="00F72ED9" w:rsidRDefault="00442A9C" w:rsidP="00442A9C">
      <w:pPr>
        <w:pStyle w:val="BodyText"/>
      </w:pPr>
      <w:r>
        <w:t xml:space="preserve">According to Eq. (11), it is required to compute </w:t>
      </w:r>
      <m:oMath>
        <m:acc>
          <m:accPr>
            <m:chr m:val="̇"/>
            <m:ctrlPr>
              <w:rPr>
                <w:rFonts w:ascii="Cambria Math" w:eastAsiaTheme="minorEastAsia" w:hAnsi="Cambria Math"/>
                <w:i/>
              </w:rPr>
            </m:ctrlPr>
          </m:accPr>
          <m:e>
            <m:r>
              <w:rPr>
                <w:rFonts w:ascii="Cambria Math" w:eastAsiaTheme="minorEastAsia" w:hAnsi="Cambria Math"/>
              </w:rPr>
              <m:t>e</m:t>
            </m:r>
          </m:e>
        </m:acc>
      </m:oMath>
      <w:r>
        <w:t xml:space="preserve"> and </w:t>
      </w:r>
      <m:oMath>
        <m:acc>
          <m:accPr>
            <m:chr m:val="̈"/>
            <m:ctrlPr>
              <w:rPr>
                <w:rFonts w:ascii="Cambria Math" w:eastAsiaTheme="minorEastAsia" w:hAnsi="Cambria Math"/>
                <w:i/>
              </w:rPr>
            </m:ctrlPr>
          </m:accPr>
          <m:e>
            <m:r>
              <w:rPr>
                <w:rFonts w:ascii="Cambria Math" w:eastAsiaTheme="minorEastAsia" w:hAnsi="Cambria Math"/>
              </w:rPr>
              <m:t>e</m:t>
            </m:r>
          </m:e>
        </m:acc>
      </m:oMath>
      <w:r>
        <w:t xml:space="preserve">. </w:t>
      </w:r>
      <w:commentRangeStart w:id="6"/>
      <w:r w:rsidR="00C03442">
        <w:t>The</w:t>
      </w:r>
      <w:commentRangeEnd w:id="6"/>
      <w:r w:rsidR="00A6550C">
        <w:rPr>
          <w:rStyle w:val="CommentReference"/>
          <w:rFonts w:eastAsia="Times New Roman"/>
          <w:spacing w:val="0"/>
        </w:rPr>
        <w:commentReference w:id="6"/>
      </w:r>
      <w:r w:rsidR="00C03442">
        <w:t xml:space="preserve"> first and second-order derivatives of tracking error</w:t>
      </w:r>
      <w:r w:rsidR="00F72ED9">
        <w:t xml:space="preserve"> (2), we have</w:t>
      </w:r>
    </w:p>
    <w:tbl>
      <w:tblPr>
        <w:tblStyle w:val="TableGrid"/>
        <w:tblW w:w="0" w:type="auto"/>
        <w:tblLook w:val="04A0" w:firstRow="1" w:lastRow="0" w:firstColumn="1" w:lastColumn="0" w:noHBand="0" w:noVBand="1"/>
      </w:tblPr>
      <w:tblGrid>
        <w:gridCol w:w="4376"/>
        <w:gridCol w:w="546"/>
      </w:tblGrid>
      <w:tr w:rsidR="00F72ED9" w14:paraId="42E50CBF" w14:textId="77777777" w:rsidTr="009B0A7F">
        <w:tc>
          <w:tcPr>
            <w:tcW w:w="4376" w:type="dxa"/>
            <w:vAlign w:val="center"/>
          </w:tcPr>
          <w:p w14:paraId="0C6225B9" w14:textId="263E69BD" w:rsidR="00F72ED9" w:rsidRPr="0066004F" w:rsidRDefault="00000000" w:rsidP="00F72ED9">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oMath>
            </m:oMathPara>
          </w:p>
        </w:tc>
        <w:tc>
          <w:tcPr>
            <w:tcW w:w="546" w:type="dxa"/>
            <w:vAlign w:val="center"/>
          </w:tcPr>
          <w:p w14:paraId="2C4DE208" w14:textId="462A674B" w:rsidR="00F72ED9" w:rsidRDefault="00F72ED9" w:rsidP="009B0A7F">
            <w:pPr>
              <w:pStyle w:val="BodyText"/>
              <w:ind w:firstLine="0"/>
              <w:jc w:val="center"/>
            </w:pPr>
            <w:r>
              <w:t>(12)</w:t>
            </w:r>
          </w:p>
        </w:tc>
      </w:tr>
      <w:tr w:rsidR="00F72ED9" w14:paraId="15E87EF9" w14:textId="77777777" w:rsidTr="009B0A7F">
        <w:tc>
          <w:tcPr>
            <w:tcW w:w="4376" w:type="dxa"/>
          </w:tcPr>
          <w:p w14:paraId="6826CBEF" w14:textId="55391BC0" w:rsidR="00F72ED9" w:rsidRPr="0066004F" w:rsidRDefault="00000000" w:rsidP="00F72ED9">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d>
                  </m:num>
                  <m:den>
                    <m:r>
                      <w:rPr>
                        <w:rFonts w:ascii="Cambria Math"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d>
                  </m:num>
                  <m:den>
                    <m:r>
                      <w:rPr>
                        <w:rFonts w:ascii="Cambria Math" w:hAnsi="Cambria Math"/>
                      </w:rPr>
                      <m:t>∂t</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x</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T</m:t>
                    </m:r>
                  </m:sup>
                </m:sSup>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T</m:t>
                    </m:r>
                  </m:sup>
                </m:sSup>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u</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oMath>
            </m:oMathPara>
          </w:p>
        </w:tc>
        <w:tc>
          <w:tcPr>
            <w:tcW w:w="546" w:type="dxa"/>
            <w:vAlign w:val="center"/>
          </w:tcPr>
          <w:p w14:paraId="336A73C8" w14:textId="45F1E7C2" w:rsidR="00F72ED9" w:rsidRDefault="00F72ED9" w:rsidP="009B0A7F">
            <w:pPr>
              <w:pStyle w:val="BodyText"/>
              <w:ind w:firstLine="0"/>
              <w:jc w:val="center"/>
            </w:pPr>
            <w:r>
              <w:t>(13)</w:t>
            </w:r>
          </w:p>
        </w:tc>
      </w:tr>
    </w:tbl>
    <w:p w14:paraId="1561AED9" w14:textId="5B56AD22" w:rsidR="00C03442" w:rsidRDefault="00F72ED9" w:rsidP="00A9334D">
      <w:pPr>
        <w:pStyle w:val="BodyText"/>
      </w:pPr>
      <w:r>
        <w:t xml:space="preserve">By replacing </w:t>
      </w:r>
      <w:r w:rsidR="00CD4747">
        <w:t>(12) and (13) in (11), one can find</w:t>
      </w:r>
      <w:r w:rsidR="00C03442">
        <w:t xml:space="preserve"> </w:t>
      </w:r>
    </w:p>
    <w:tbl>
      <w:tblPr>
        <w:tblStyle w:val="TableGrid"/>
        <w:tblW w:w="0" w:type="auto"/>
        <w:tblLook w:val="04A0" w:firstRow="1" w:lastRow="0" w:firstColumn="1" w:lastColumn="0" w:noHBand="0" w:noVBand="1"/>
      </w:tblPr>
      <w:tblGrid>
        <w:gridCol w:w="4376"/>
        <w:gridCol w:w="546"/>
      </w:tblGrid>
      <w:tr w:rsidR="00CD4747" w14:paraId="47684A23" w14:textId="77777777" w:rsidTr="00853155">
        <w:tc>
          <w:tcPr>
            <w:tcW w:w="4698" w:type="dxa"/>
            <w:vAlign w:val="center"/>
          </w:tcPr>
          <w:p w14:paraId="4F369DA8" w14:textId="77777777" w:rsidR="00CD4747" w:rsidRPr="00CD4747" w:rsidRDefault="00000000" w:rsidP="00CD4747">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q/p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x</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T</m:t>
                        </m:r>
                      </m:sup>
                    </m:sSup>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T</m:t>
                        </m:r>
                      </m:sup>
                    </m:sSup>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u</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oMath>
            </m:oMathPara>
          </w:p>
          <w:p w14:paraId="6237C960" w14:textId="38B33CF7" w:rsidR="00CD4747" w:rsidRPr="0066004F" w:rsidRDefault="00CD4747" w:rsidP="00853155">
            <w:pPr>
              <w:rPr>
                <w:rFonts w:eastAsiaTheme="minorEastAsia"/>
              </w:rPr>
            </w:pPr>
          </w:p>
        </w:tc>
        <w:tc>
          <w:tcPr>
            <w:tcW w:w="450" w:type="dxa"/>
            <w:vAlign w:val="center"/>
          </w:tcPr>
          <w:p w14:paraId="11355E1D" w14:textId="24BE6EF4" w:rsidR="00CD4747" w:rsidRDefault="00CD4747" w:rsidP="00853155">
            <w:pPr>
              <w:pStyle w:val="BodyText"/>
              <w:ind w:firstLine="0"/>
              <w:jc w:val="center"/>
            </w:pPr>
            <w:r>
              <w:t>(14)</w:t>
            </w:r>
          </w:p>
        </w:tc>
      </w:tr>
    </w:tbl>
    <w:p w14:paraId="273CCAAB" w14:textId="7FE57656" w:rsidR="00CD4747" w:rsidRDefault="00CD4747" w:rsidP="00A9334D">
      <w:pPr>
        <w:pStyle w:val="BodyText"/>
      </w:pPr>
      <w:r>
        <w:t xml:space="preserve">The controller signal can be found, when the </w:t>
      </w: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hAnsi="Cambria Math"/>
          </w:rPr>
          <m:t>=0</m:t>
        </m:r>
      </m:oMath>
      <w:r>
        <w:t xml:space="preserve">. It is necessary condition that can guarantee the error states converge to zero. The </w:t>
      </w:r>
      <w:r w:rsidR="00D14266">
        <w:t xml:space="preserve">equivalent controller can be driven  </w:t>
      </w:r>
      <w:r>
        <w:t xml:space="preserve"> </w:t>
      </w:r>
    </w:p>
    <w:tbl>
      <w:tblPr>
        <w:tblStyle w:val="TableGrid"/>
        <w:tblW w:w="0" w:type="auto"/>
        <w:tblLook w:val="04A0" w:firstRow="1" w:lastRow="0" w:firstColumn="1" w:lastColumn="0" w:noHBand="0" w:noVBand="1"/>
      </w:tblPr>
      <w:tblGrid>
        <w:gridCol w:w="4376"/>
        <w:gridCol w:w="546"/>
      </w:tblGrid>
      <w:tr w:rsidR="00D14266" w14:paraId="05BAF1EE" w14:textId="77777777" w:rsidTr="00853155">
        <w:tc>
          <w:tcPr>
            <w:tcW w:w="4698" w:type="dxa"/>
            <w:vAlign w:val="center"/>
          </w:tcPr>
          <w:p w14:paraId="5B267628" w14:textId="5F0F9781" w:rsidR="00D14266" w:rsidRPr="00D14266" w:rsidRDefault="00000000" w:rsidP="00D14266">
            <w:pPr>
              <w:rPr>
                <w:rFonts w:eastAsiaTheme="minorEastAsia"/>
              </w:rPr>
            </w:pPr>
            <m:oMathPara>
              <m:oMathParaPr>
                <m:jc m:val="center"/>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eq</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e>
                    </m:d>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eq</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q/p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x</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eq</m:t>
                                </m:r>
                              </m:sub>
                            </m:sSub>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eq</m:t>
                                </m:r>
                              </m:sub>
                            </m:sSub>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T</m:t>
                            </m:r>
                          </m:sup>
                        </m:sSup>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eq</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u</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eq</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s</m:t>
                            </m:r>
                          </m:e>
                        </m:acc>
                      </m:e>
                    </m:d>
                  </m:e>
                </m:d>
              </m:oMath>
            </m:oMathPara>
          </w:p>
          <w:p w14:paraId="386D49E9" w14:textId="77777777" w:rsidR="00D14266" w:rsidRPr="0066004F" w:rsidRDefault="00D14266" w:rsidP="00853155">
            <w:pPr>
              <w:rPr>
                <w:rFonts w:eastAsiaTheme="minorEastAsia"/>
              </w:rPr>
            </w:pPr>
          </w:p>
        </w:tc>
        <w:tc>
          <w:tcPr>
            <w:tcW w:w="450" w:type="dxa"/>
            <w:vAlign w:val="center"/>
          </w:tcPr>
          <w:p w14:paraId="53B945E3" w14:textId="7D198149" w:rsidR="00D14266" w:rsidRDefault="00D14266" w:rsidP="00853155">
            <w:pPr>
              <w:pStyle w:val="BodyText"/>
              <w:ind w:firstLine="0"/>
              <w:jc w:val="center"/>
            </w:pPr>
            <w:r>
              <w:t>(15)</w:t>
            </w:r>
          </w:p>
        </w:tc>
      </w:tr>
    </w:tbl>
    <w:p w14:paraId="20F9BB9A" w14:textId="0C615A43" w:rsidR="00D14266" w:rsidRDefault="009B0A7F" w:rsidP="00A9334D">
      <w:pPr>
        <w:pStyle w:val="BodyText"/>
      </w:pPr>
      <w:r>
        <w:t xml:space="preserve">This type of controller is second order controller, which can be reformed into two differential equations as </w:t>
      </w:r>
      <w:r w:rsidR="00947911">
        <w:t xml:space="preserve">follows where </w:t>
      </w:r>
      <m:oMath>
        <m:sSub>
          <m:sSubPr>
            <m:ctrlPr>
              <w:rPr>
                <w:rFonts w:ascii="Cambria Math" w:hAnsi="Cambria Math"/>
                <w:i/>
              </w:rPr>
            </m:ctrlPr>
          </m:sSubPr>
          <m:e>
            <m:r>
              <w:rPr>
                <w:rFonts w:ascii="Cambria Math" w:hAnsi="Cambria Math"/>
              </w:rPr>
              <m:t>v</m:t>
            </m:r>
          </m:e>
          <m:sub>
            <m:r>
              <w:rPr>
                <w:rFonts w:ascii="Cambria Math" w:hAnsi="Cambria Math"/>
              </w:rPr>
              <m:t>eq</m:t>
            </m:r>
          </m:sub>
        </m:sSub>
      </m:oMath>
      <w:r w:rsidR="00947911">
        <w:t xml:space="preserve"> is the sub input of controller</w:t>
      </w:r>
    </w:p>
    <w:tbl>
      <w:tblPr>
        <w:tblStyle w:val="TableGrid"/>
        <w:tblW w:w="0" w:type="auto"/>
        <w:tblLook w:val="04A0" w:firstRow="1" w:lastRow="0" w:firstColumn="1" w:lastColumn="0" w:noHBand="0" w:noVBand="1"/>
      </w:tblPr>
      <w:tblGrid>
        <w:gridCol w:w="4376"/>
        <w:gridCol w:w="546"/>
      </w:tblGrid>
      <w:tr w:rsidR="009B0A7F" w14:paraId="50F8C678" w14:textId="77777777" w:rsidTr="00853155">
        <w:tc>
          <w:tcPr>
            <w:tcW w:w="4698" w:type="dxa"/>
            <w:vAlign w:val="center"/>
          </w:tcPr>
          <w:p w14:paraId="6D322B24" w14:textId="77777777" w:rsidR="009B0A7F" w:rsidRPr="00F81050" w:rsidRDefault="00000000" w:rsidP="009B0A7F">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eq</m:t>
                    </m:r>
                  </m:sub>
                </m:sSub>
              </m:oMath>
            </m:oMathPara>
          </w:p>
          <w:p w14:paraId="79534DEA" w14:textId="1D88C33B" w:rsidR="009B0A7F" w:rsidRPr="0066004F" w:rsidRDefault="00000000" w:rsidP="009B0A7F">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eq</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x,u</m:t>
                                </m:r>
                              </m:e>
                            </m:d>
                          </m:e>
                        </m:d>
                      </m:e>
                    </m:d>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eq</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q/p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x</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eq</m:t>
                                </m:r>
                              </m:sub>
                            </m:sSub>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eq</m:t>
                                </m:r>
                              </m:sub>
                            </m:sSub>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T</m:t>
                            </m:r>
                          </m:sup>
                        </m:sSup>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eq</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u</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e>
                            </m:d>
                          </m:e>
                        </m:d>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eq</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s</m:t>
                            </m:r>
                          </m:e>
                        </m:acc>
                      </m:e>
                    </m:d>
                  </m:e>
                </m:d>
              </m:oMath>
            </m:oMathPara>
          </w:p>
        </w:tc>
        <w:tc>
          <w:tcPr>
            <w:tcW w:w="450" w:type="dxa"/>
            <w:vAlign w:val="center"/>
          </w:tcPr>
          <w:p w14:paraId="0BE0FA8E" w14:textId="4BA004C1" w:rsidR="009B0A7F" w:rsidRDefault="009B0A7F" w:rsidP="00853155">
            <w:pPr>
              <w:pStyle w:val="BodyText"/>
              <w:ind w:firstLine="0"/>
              <w:jc w:val="center"/>
            </w:pPr>
            <w:r>
              <w:t>(16)</w:t>
            </w:r>
          </w:p>
        </w:tc>
      </w:tr>
    </w:tbl>
    <w:p w14:paraId="23FD8B43" w14:textId="4C870348" w:rsidR="009B0A7F" w:rsidRDefault="00947911" w:rsidP="00A9334D">
      <w:pPr>
        <w:pStyle w:val="BodyText"/>
      </w:pPr>
      <w:r>
        <w:t xml:space="preserve">There should be a switching controller to guarantee the switching surface </w:t>
      </w:r>
      <m:oMath>
        <m:r>
          <w:rPr>
            <w:rFonts w:ascii="Cambria Math" w:hAnsi="Cambria Math"/>
          </w:rPr>
          <m:t>s</m:t>
        </m:r>
      </m:oMath>
      <w:r>
        <w:t xml:space="preserve"> converge to origin. The switching controller is defined as follow</w:t>
      </w:r>
      <w:r w:rsidR="00B00A07">
        <w:t>s</w:t>
      </w:r>
    </w:p>
    <w:tbl>
      <w:tblPr>
        <w:tblStyle w:val="TableGrid"/>
        <w:tblW w:w="0" w:type="auto"/>
        <w:tblLook w:val="04A0" w:firstRow="1" w:lastRow="0" w:firstColumn="1" w:lastColumn="0" w:noHBand="0" w:noVBand="1"/>
      </w:tblPr>
      <w:tblGrid>
        <w:gridCol w:w="4376"/>
        <w:gridCol w:w="546"/>
      </w:tblGrid>
      <w:tr w:rsidR="00947911" w14:paraId="7FA3D364" w14:textId="77777777" w:rsidTr="00853155">
        <w:tc>
          <w:tcPr>
            <w:tcW w:w="4376" w:type="dxa"/>
            <w:vAlign w:val="center"/>
          </w:tcPr>
          <w:p w14:paraId="2254E746" w14:textId="77777777" w:rsidR="00947911" w:rsidRPr="00F81050" w:rsidRDefault="00000000" w:rsidP="00947911">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m:oMathPara>
          </w:p>
          <w:p w14:paraId="1C7C835F" w14:textId="5ACA6A4B" w:rsidR="00947911" w:rsidRPr="0066004F" w:rsidRDefault="00000000" w:rsidP="00947911">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highlight w:val="yellow"/>
                              </w:rPr>
                            </m:ctrlPr>
                          </m:sSubPr>
                          <m:e>
                            <m:r>
                              <m:rPr>
                                <m:sty m:val="p"/>
                              </m:rPr>
                              <w:rPr>
                                <w:rFonts w:ascii="Cambria Math" w:eastAsiaTheme="minorEastAsia" w:hAnsi="Cambria Math"/>
                                <w:highlight w:val="yellow"/>
                              </w:rPr>
                              <m:t>∇</m:t>
                            </m:r>
                          </m:e>
                          <m:sub>
                            <m:r>
                              <w:rPr>
                                <w:rFonts w:ascii="Cambria Math" w:eastAsiaTheme="minorEastAsia" w:hAnsi="Cambria Math"/>
                                <w:highlight w:val="yellow"/>
                              </w:rPr>
                              <m:t>u</m:t>
                            </m:r>
                          </m:sub>
                        </m:sSub>
                        <m:d>
                          <m:dPr>
                            <m:ctrlPr>
                              <w:rPr>
                                <w:rFonts w:ascii="Cambria Math" w:eastAsiaTheme="minorEastAsia" w:hAnsi="Cambria Math"/>
                                <w:i/>
                                <w:highlight w:val="yellow"/>
                              </w:rPr>
                            </m:ctrlPr>
                          </m:dPr>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x,u</m:t>
                                </m:r>
                              </m:e>
                            </m:d>
                          </m:e>
                        </m:d>
                      </m:e>
                    </m:d>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highlight w:val="yellow"/>
                                      </w:rPr>
                                      <m:t>u</m:t>
                                    </m:r>
                                  </m:e>
                                  <m:sub>
                                    <m:r>
                                      <w:rPr>
                                        <w:rFonts w:ascii="Cambria Math" w:eastAsiaTheme="minorEastAsia" w:hAnsi="Cambria Math"/>
                                      </w:rPr>
                                      <m:t>S</m:t>
                                    </m:r>
                                  </m:sub>
                                </m:sSub>
                              </m:e>
                            </m:d>
                          </m:e>
                        </m:d>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highlight w:val="yellow"/>
                                      </w:rPr>
                                      <m:t>u</m:t>
                                    </m:r>
                                  </m:e>
                                  <m:sub>
                                    <m:r>
                                      <w:rPr>
                                        <w:rFonts w:ascii="Cambria Math" w:eastAsiaTheme="minorEastAsia" w:hAnsi="Cambria Math"/>
                                      </w:rPr>
                                      <m:t>S</m:t>
                                    </m:r>
                                  </m:sub>
                                </m:sSub>
                              </m:e>
                            </m:d>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m:t>
                            </m:r>
                          </m:e>
                          <m:sub>
                            <m:r>
                              <w:rPr>
                                <w:rFonts w:ascii="Cambria Math" w:eastAsiaTheme="minorEastAsia" w:hAnsi="Cambria Math"/>
                              </w:rPr>
                              <m:t>x</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highlight w:val="yellow"/>
                                      </w:rPr>
                                      <m:t>u</m:t>
                                    </m:r>
                                  </m:e>
                                  <m:sub>
                                    <m:r>
                                      <w:rPr>
                                        <w:rFonts w:ascii="Cambria Math" w:eastAsiaTheme="minorEastAsia" w:hAnsi="Cambria Math"/>
                                      </w:rPr>
                                      <m:t>S</m:t>
                                    </m:r>
                                  </m:sub>
                                </m:sSub>
                              </m:e>
                            </m:d>
                          </m:e>
                        </m:d>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u</m:t>
                            </m:r>
                          </m:sub>
                        </m:sSub>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highlight w:val="yellow"/>
                                      </w:rPr>
                                      <m:t>u</m:t>
                                    </m:r>
                                  </m:e>
                                  <m:sub>
                                    <m:r>
                                      <w:rPr>
                                        <w:rFonts w:ascii="Cambria Math" w:eastAsiaTheme="minorEastAsia" w:hAnsi="Cambria Math"/>
                                      </w:rPr>
                                      <m:t>S</m:t>
                                    </m:r>
                                  </m:sub>
                                </m:sSub>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highlight w:val="yellow"/>
                                      </w:rPr>
                                      <m:t>u</m:t>
                                    </m:r>
                                  </m:e>
                                  <m:sub>
                                    <m:r>
                                      <w:rPr>
                                        <w:rFonts w:ascii="Cambria Math" w:eastAsiaTheme="minorEastAsia" w:hAnsi="Cambria Math"/>
                                      </w:rPr>
                                      <m:t>S</m:t>
                                    </m:r>
                                  </m:sub>
                                </m:sSub>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e>
                            </m:d>
                          </m:e>
                          <m:sup>
                            <m:r>
                              <w:rPr>
                                <w:rFonts w:ascii="Cambria Math" w:eastAsiaTheme="minorEastAsia" w:hAnsi="Cambria Math"/>
                              </w:rPr>
                              <m:t>T</m:t>
                            </m:r>
                          </m:sup>
                        </m:sSup>
                        <m:sSub>
                          <m:sSubPr>
                            <m:ctrlPr>
                              <w:rPr>
                                <w:rFonts w:ascii="Cambria Math" w:eastAsiaTheme="minorEastAsia" w:hAnsi="Cambria Math"/>
                                <w:i/>
                                <w:highlight w:val="yellow"/>
                              </w:rPr>
                            </m:ctrlPr>
                          </m:sSubPr>
                          <m:e>
                            <m:r>
                              <m:rPr>
                                <m:sty m:val="p"/>
                              </m:rPr>
                              <w:rPr>
                                <w:rFonts w:ascii="Cambria Math" w:eastAsiaTheme="minorEastAsia" w:hAnsi="Cambria Math"/>
                                <w:highlight w:val="yellow"/>
                              </w:rPr>
                              <m:t>∇</m:t>
                            </m:r>
                          </m:e>
                          <m:sub>
                            <m:r>
                              <w:rPr>
                                <w:rFonts w:ascii="Cambria Math" w:eastAsiaTheme="minorEastAsia" w:hAnsi="Cambria Math"/>
                                <w:highlight w:val="yellow"/>
                              </w:rPr>
                              <m:t>x</m:t>
                            </m:r>
                          </m:sub>
                        </m:sSub>
                        <m:sSub>
                          <m:sSubPr>
                            <m:ctrlPr>
                              <w:rPr>
                                <w:rFonts w:ascii="Cambria Math" w:eastAsiaTheme="minorEastAsia" w:hAnsi="Cambria Math"/>
                                <w:i/>
                                <w:highlight w:val="yellow"/>
                              </w:rPr>
                            </m:ctrlPr>
                          </m:sSubPr>
                          <m:e>
                            <m:r>
                              <m:rPr>
                                <m:sty m:val="p"/>
                              </m:rPr>
                              <w:rPr>
                                <w:rFonts w:ascii="Cambria Math" w:eastAsiaTheme="minorEastAsia" w:hAnsi="Cambria Math"/>
                                <w:highlight w:val="yellow"/>
                              </w:rPr>
                              <m:t>∇</m:t>
                            </m:r>
                          </m:e>
                          <m:sub>
                            <m:r>
                              <w:rPr>
                                <w:rFonts w:ascii="Cambria Math" w:eastAsiaTheme="minorEastAsia" w:hAnsi="Cambria Math"/>
                                <w:highlight w:val="yellow"/>
                              </w:rPr>
                              <m:t>u</m:t>
                            </m:r>
                          </m:sub>
                        </m:sSub>
                        <m:d>
                          <m:dPr>
                            <m:ctrlPr>
                              <w:rPr>
                                <w:rFonts w:ascii="Cambria Math" w:eastAsiaTheme="minorEastAsia" w:hAnsi="Cambria Math"/>
                                <w:i/>
                                <w:highlight w:val="yellow"/>
                              </w:rPr>
                            </m:ctrlPr>
                          </m:dPr>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x,</m:t>
                                </m:r>
                                <m:sSub>
                                  <m:sSubPr>
                                    <m:ctrlPr>
                                      <w:rPr>
                                        <w:rFonts w:ascii="Cambria Math" w:eastAsiaTheme="minorEastAsia" w:hAnsi="Cambria Math"/>
                                        <w:i/>
                                      </w:rPr>
                                    </m:ctrlPr>
                                  </m:sSubPr>
                                  <m:e>
                                    <m:r>
                                      <w:rPr>
                                        <w:rFonts w:ascii="Cambria Math" w:eastAsiaTheme="minorEastAsia" w:hAnsi="Cambria Math"/>
                                        <w:highlight w:val="yellow"/>
                                      </w:rPr>
                                      <m:t>u</m:t>
                                    </m:r>
                                  </m:e>
                                  <m:sub>
                                    <m:r>
                                      <w:rPr>
                                        <w:rFonts w:ascii="Cambria Math" w:eastAsiaTheme="minorEastAsia" w:hAnsi="Cambria Math"/>
                                      </w:rPr>
                                      <m:t>S</m:t>
                                    </m:r>
                                  </m:sub>
                                </m:sSub>
                              </m:e>
                            </m:d>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highlight w:val="yellow"/>
                              </w:rPr>
                            </m:ctrlPr>
                          </m:sSubSupPr>
                          <m:e>
                            <m:r>
                              <m:rPr>
                                <m:sty m:val="p"/>
                              </m:rPr>
                              <w:rPr>
                                <w:rFonts w:ascii="Cambria Math" w:eastAsiaTheme="minorEastAsia" w:hAnsi="Cambria Math"/>
                                <w:highlight w:val="yellow"/>
                              </w:rPr>
                              <m:t>∇</m:t>
                            </m:r>
                          </m:e>
                          <m:sub>
                            <m:r>
                              <w:rPr>
                                <w:rFonts w:ascii="Cambria Math" w:eastAsiaTheme="minorEastAsia" w:hAnsi="Cambria Math"/>
                                <w:highlight w:val="yellow"/>
                              </w:rPr>
                              <m:t>u</m:t>
                            </m:r>
                          </m:sub>
                          <m:sup>
                            <m:r>
                              <w:rPr>
                                <w:rFonts w:ascii="Cambria Math" w:eastAsiaTheme="minorEastAsia" w:hAnsi="Cambria Math"/>
                                <w:highlight w:val="yellow"/>
                              </w:rPr>
                              <m:t>2</m:t>
                            </m:r>
                          </m:sup>
                        </m:sSubSup>
                        <m:d>
                          <m:dPr>
                            <m:ctrlPr>
                              <w:rPr>
                                <w:rFonts w:ascii="Cambria Math" w:eastAsiaTheme="minorEastAsia" w:hAnsi="Cambria Math"/>
                                <w:i/>
                                <w:highlight w:val="yellow"/>
                              </w:rPr>
                            </m:ctrlPr>
                          </m:dPr>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x,</m:t>
                                </m:r>
                                <m:sSub>
                                  <m:sSubPr>
                                    <m:ctrlPr>
                                      <w:rPr>
                                        <w:rFonts w:ascii="Cambria Math" w:eastAsiaTheme="minorEastAsia" w:hAnsi="Cambria Math"/>
                                        <w:i/>
                                      </w:rPr>
                                    </m:ctrlPr>
                                  </m:sSubPr>
                                  <m:e>
                                    <m:r>
                                      <w:rPr>
                                        <w:rFonts w:ascii="Cambria Math" w:eastAsiaTheme="minorEastAsia" w:hAnsi="Cambria Math"/>
                                        <w:highlight w:val="yellow"/>
                                      </w:rPr>
                                      <m:t>u</m:t>
                                    </m:r>
                                  </m:e>
                                  <m:sub>
                                    <m:r>
                                      <w:rPr>
                                        <w:rFonts w:ascii="Cambria Math" w:eastAsiaTheme="minorEastAsia" w:hAnsi="Cambria Math"/>
                                      </w:rPr>
                                      <m:t>S</m:t>
                                    </m:r>
                                  </m:sub>
                                </m:sSub>
                              </m:e>
                            </m:d>
                          </m:e>
                        </m:d>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+δsgn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sup>
                        <m:r>
                          <w:rPr>
                            <w:rFonts w:ascii="Cambria Math" w:eastAsiaTheme="minorEastAsia" w:hAnsi="Cambria Math"/>
                          </w:rPr>
                          <m:t>α</m:t>
                        </m:r>
                      </m:sup>
                    </m:sSup>
                    <m:r>
                      <w:rPr>
                        <w:rFonts w:ascii="Cambria Math" w:eastAsiaTheme="minorEastAsia" w:hAnsi="Cambria Math"/>
                      </w:rPr>
                      <m:t>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d>
              </m:oMath>
            </m:oMathPara>
          </w:p>
        </w:tc>
        <w:tc>
          <w:tcPr>
            <w:tcW w:w="546" w:type="dxa"/>
            <w:vAlign w:val="center"/>
          </w:tcPr>
          <w:p w14:paraId="6FC8A661" w14:textId="0FCFABC8" w:rsidR="00947911" w:rsidRDefault="00947911" w:rsidP="00853155">
            <w:pPr>
              <w:pStyle w:val="BodyText"/>
              <w:ind w:firstLine="0"/>
              <w:jc w:val="center"/>
            </w:pPr>
            <w:r>
              <w:t>(17)</w:t>
            </w:r>
          </w:p>
        </w:tc>
      </w:tr>
    </w:tbl>
    <w:p w14:paraId="105EB618" w14:textId="3A70CA1C" w:rsidR="00947911" w:rsidRDefault="00CC2B1F" w:rsidP="00A9334D">
      <w:pPr>
        <w:pStyle w:val="BodyText"/>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are positive, </w:t>
      </w:r>
      <m:oMath>
        <m:r>
          <w:rPr>
            <w:rFonts w:ascii="Cambria Math" w:hAnsi="Cambria Math"/>
          </w:rPr>
          <m:t>0&lt;α&lt;1</m:t>
        </m:r>
      </m:oMath>
      <w:r>
        <w:t xml:space="preserve"> and </w:t>
      </w:r>
      <m:oMath>
        <m:r>
          <w:rPr>
            <w:rFonts w:ascii="Cambria Math" w:hAnsi="Cambria Math"/>
          </w:rPr>
          <m:t>δ≥</m:t>
        </m:r>
        <m:d>
          <m:dPr>
            <m:begChr m:val="|"/>
            <m:endChr m:val="|"/>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u</m:t>
            </m:r>
          </m:sub>
        </m:sSub>
        <m:r>
          <w:rPr>
            <w:rFonts w:ascii="Cambria Math" w:hAnsi="Cambria Math"/>
          </w:rPr>
          <m:t>|</m:t>
        </m:r>
      </m:oMath>
      <w:r w:rsidR="00DA08A9">
        <w:t xml:space="preserve">. In this formula, </w:t>
      </w:r>
      <m:oMath>
        <m:r>
          <w:rPr>
            <w:rFonts w:ascii="Cambria Math" w:eastAsiaTheme="minorEastAsia" w:hAnsi="Cambria Math"/>
          </w:rPr>
          <m:t>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oMath>
      <w:r w:rsidR="00DA08A9">
        <w:t xml:space="preserve"> makes the controller schema discontinuous, but because two integrations are performed, the final controller law is continuous and chattering free.</w:t>
      </w:r>
    </w:p>
    <w:p w14:paraId="14067369" w14:textId="4B37020B" w:rsidR="00DA08A9" w:rsidRDefault="00DA08A9" w:rsidP="00A9334D">
      <w:pPr>
        <w:pStyle w:val="BodyText"/>
      </w:pPr>
      <w:r w:rsidRPr="00350F72">
        <w:rPr>
          <w:b/>
          <w:bCs/>
        </w:rPr>
        <w:t>Theorem 1:</w:t>
      </w:r>
      <w:r>
        <w:t xml:space="preserve"> Consider </w:t>
      </w:r>
      <w:r w:rsidR="00DD4DD1">
        <w:t>the general uncertain system (1) and the sliding surface (10)</w:t>
      </w:r>
      <w:r w:rsidR="00457F9E">
        <w:t xml:space="preserve">. If we have </w:t>
      </w:r>
      <m:oMath>
        <m:r>
          <w:rPr>
            <w:rFonts w:ascii="Cambria Math" w:hAnsi="Cambria Math"/>
          </w:rPr>
          <m:t>u</m:t>
        </m:r>
      </m:oMath>
      <w:r w:rsidR="00457F9E">
        <w:t xml:space="preserve"> as the control signal as follows</w:t>
      </w:r>
    </w:p>
    <w:tbl>
      <w:tblPr>
        <w:tblStyle w:val="TableGrid"/>
        <w:tblW w:w="0" w:type="auto"/>
        <w:tblLook w:val="04A0" w:firstRow="1" w:lastRow="0" w:firstColumn="1" w:lastColumn="0" w:noHBand="0" w:noVBand="1"/>
      </w:tblPr>
      <w:tblGrid>
        <w:gridCol w:w="4376"/>
        <w:gridCol w:w="546"/>
      </w:tblGrid>
      <w:tr w:rsidR="00457F9E" w14:paraId="6F0A7611" w14:textId="77777777" w:rsidTr="00853155">
        <w:tc>
          <w:tcPr>
            <w:tcW w:w="4698" w:type="dxa"/>
            <w:vAlign w:val="center"/>
          </w:tcPr>
          <w:p w14:paraId="3DB3A6E6" w14:textId="1A2D8C03" w:rsidR="00457F9E" w:rsidRPr="0066004F" w:rsidRDefault="00457F9E" w:rsidP="00853155">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oMath>
            </m:oMathPara>
          </w:p>
        </w:tc>
        <w:tc>
          <w:tcPr>
            <w:tcW w:w="450" w:type="dxa"/>
            <w:vAlign w:val="center"/>
          </w:tcPr>
          <w:p w14:paraId="3016A025" w14:textId="305F62AD" w:rsidR="00457F9E" w:rsidRDefault="00457F9E" w:rsidP="00853155">
            <w:pPr>
              <w:pStyle w:val="BodyText"/>
              <w:ind w:firstLine="0"/>
              <w:jc w:val="center"/>
            </w:pPr>
            <w:r>
              <w:t>(18)</w:t>
            </w:r>
          </w:p>
        </w:tc>
      </w:tr>
    </w:tbl>
    <w:p w14:paraId="18563172" w14:textId="51620ACB" w:rsidR="00457F9E" w:rsidRDefault="00457F9E" w:rsidP="00A9334D">
      <w:pPr>
        <w:pStyle w:val="BodyText"/>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eq</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s</m:t>
            </m:r>
          </m:sub>
        </m:sSub>
      </m:oMath>
      <w:r>
        <w:t xml:space="preserve"> are</w:t>
      </w:r>
      <w:r w:rsidR="00E672DC">
        <w:t xml:space="preserve"> the equivalent and</w:t>
      </w:r>
      <w:r>
        <w:t xml:space="preserve"> </w:t>
      </w:r>
      <w:r w:rsidR="00E672DC">
        <w:t>switching controllers computed by (16) and (17). Then, we can conclude that the integral-type sliding surface defined in (10) will converge to zero.</w:t>
      </w:r>
    </w:p>
    <w:p w14:paraId="3944EB68" w14:textId="09F019B0" w:rsidR="00E672DC" w:rsidRDefault="00E672DC" w:rsidP="00A9334D">
      <w:pPr>
        <w:pStyle w:val="BodyText"/>
      </w:pPr>
      <w:r>
        <w:rPr>
          <w:b/>
          <w:bCs/>
        </w:rPr>
        <w:t>Proof</w:t>
      </w:r>
      <w:r w:rsidRPr="00350F72">
        <w:rPr>
          <w:b/>
          <w:bCs/>
        </w:rPr>
        <w:t>:</w:t>
      </w:r>
      <w:r>
        <w:t xml:space="preserve"> </w:t>
      </w:r>
      <w:r w:rsidR="002329BF">
        <w:t xml:space="preserve">By replacing (16), (17) and (18) in (14), one has  </w:t>
      </w:r>
    </w:p>
    <w:tbl>
      <w:tblPr>
        <w:tblStyle w:val="TableGrid"/>
        <w:tblW w:w="0" w:type="auto"/>
        <w:tblLook w:val="04A0" w:firstRow="1" w:lastRow="0" w:firstColumn="1" w:lastColumn="0" w:noHBand="0" w:noVBand="1"/>
      </w:tblPr>
      <w:tblGrid>
        <w:gridCol w:w="4376"/>
        <w:gridCol w:w="546"/>
      </w:tblGrid>
      <w:tr w:rsidR="002329BF" w14:paraId="1ECDF138" w14:textId="77777777" w:rsidTr="00853155">
        <w:tc>
          <w:tcPr>
            <w:tcW w:w="4698" w:type="dxa"/>
            <w:vAlign w:val="center"/>
          </w:tcPr>
          <w:p w14:paraId="536E7477" w14:textId="66CA0DAB" w:rsidR="002329BF" w:rsidRPr="002329BF" w:rsidRDefault="00000000" w:rsidP="00853155">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u</m:t>
                    </m:r>
                  </m:sub>
                </m:sSub>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+δsgn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sup>
                        <m:r>
                          <w:rPr>
                            <w:rFonts w:ascii="Cambria Math" w:eastAsiaTheme="minorEastAsia" w:hAnsi="Cambria Math"/>
                          </w:rPr>
                          <m:t>α</m:t>
                        </m:r>
                      </m:sup>
                    </m:sSup>
                    <m:r>
                      <w:rPr>
                        <w:rFonts w:ascii="Cambria Math" w:eastAsiaTheme="minorEastAsia" w:hAnsi="Cambria Math"/>
                      </w:rPr>
                      <m:t>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d>
              </m:oMath>
            </m:oMathPara>
          </w:p>
        </w:tc>
        <w:tc>
          <w:tcPr>
            <w:tcW w:w="450" w:type="dxa"/>
            <w:vAlign w:val="center"/>
          </w:tcPr>
          <w:p w14:paraId="4F76E221" w14:textId="1F2663B6" w:rsidR="002329BF" w:rsidRDefault="002329BF" w:rsidP="00853155">
            <w:pPr>
              <w:pStyle w:val="BodyText"/>
              <w:ind w:firstLine="0"/>
              <w:jc w:val="center"/>
            </w:pPr>
            <w:r>
              <w:t>(19)</w:t>
            </w:r>
          </w:p>
        </w:tc>
      </w:tr>
    </w:tbl>
    <w:p w14:paraId="2337D170" w14:textId="2B55E76A" w:rsidR="00457F9E" w:rsidRDefault="002329BF" w:rsidP="00A9334D">
      <w:pPr>
        <w:pStyle w:val="BodyText"/>
      </w:pPr>
      <w:r>
        <w:t xml:space="preserve">Assuming the Lyapunov function is considered as follows </w:t>
      </w:r>
    </w:p>
    <w:tbl>
      <w:tblPr>
        <w:tblStyle w:val="TableGrid"/>
        <w:tblW w:w="0" w:type="auto"/>
        <w:tblLook w:val="04A0" w:firstRow="1" w:lastRow="0" w:firstColumn="1" w:lastColumn="0" w:noHBand="0" w:noVBand="1"/>
      </w:tblPr>
      <w:tblGrid>
        <w:gridCol w:w="4376"/>
        <w:gridCol w:w="546"/>
      </w:tblGrid>
      <w:tr w:rsidR="002329BF" w14:paraId="1696A23E" w14:textId="77777777" w:rsidTr="00853155">
        <w:tc>
          <w:tcPr>
            <w:tcW w:w="4698" w:type="dxa"/>
            <w:vAlign w:val="center"/>
          </w:tcPr>
          <w:p w14:paraId="6F5FAA94" w14:textId="47811D77" w:rsidR="002329BF" w:rsidRPr="002329BF" w:rsidRDefault="00000000" w:rsidP="00853155">
            <w:pP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m:t>
                </m:r>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c>
          <w:tcPr>
            <w:tcW w:w="450" w:type="dxa"/>
            <w:vAlign w:val="center"/>
          </w:tcPr>
          <w:p w14:paraId="441FE4BB" w14:textId="06E47417" w:rsidR="002329BF" w:rsidRDefault="002329BF" w:rsidP="00853155">
            <w:pPr>
              <w:pStyle w:val="BodyText"/>
              <w:ind w:firstLine="0"/>
              <w:jc w:val="center"/>
            </w:pPr>
            <w:r>
              <w:t>(</w:t>
            </w:r>
            <w:r w:rsidR="00B902B9">
              <w:t>20</w:t>
            </w:r>
            <w:r>
              <w:t>)</w:t>
            </w:r>
          </w:p>
        </w:tc>
      </w:tr>
    </w:tbl>
    <w:p w14:paraId="199B94D8" w14:textId="34DD8907" w:rsidR="002329BF" w:rsidRDefault="00211CC3" w:rsidP="00A9334D">
      <w:pPr>
        <w:pStyle w:val="BodyText"/>
      </w:pPr>
      <w:r>
        <w:t xml:space="preserve">By considering </w:t>
      </w:r>
      <m:oMath>
        <m:r>
          <w:rPr>
            <w:rFonts w:ascii="Cambria Math" w:hAnsi="Cambria Math"/>
          </w:rPr>
          <m:t>δ≥</m:t>
        </m:r>
        <m:d>
          <m:dPr>
            <m:begChr m:val="|"/>
            <m:endChr m:val="|"/>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u</m:t>
            </m:r>
          </m:sub>
        </m:sSub>
        <m:r>
          <w:rPr>
            <w:rFonts w:ascii="Cambria Math" w:hAnsi="Cambria Math"/>
          </w:rPr>
          <m:t>|</m:t>
        </m:r>
      </m:oMath>
      <w:r>
        <w:t>, t</w:t>
      </w:r>
      <w:r w:rsidR="00B902B9">
        <w:t xml:space="preserve">he first derivative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902B9">
        <w:t xml:space="preserve"> yields</w:t>
      </w:r>
    </w:p>
    <w:tbl>
      <w:tblPr>
        <w:tblStyle w:val="TableGrid"/>
        <w:tblW w:w="0" w:type="auto"/>
        <w:tblLook w:val="04A0" w:firstRow="1" w:lastRow="0" w:firstColumn="1" w:lastColumn="0" w:noHBand="0" w:noVBand="1"/>
      </w:tblPr>
      <w:tblGrid>
        <w:gridCol w:w="4376"/>
        <w:gridCol w:w="546"/>
      </w:tblGrid>
      <w:tr w:rsidR="00B902B9" w14:paraId="787A4ECB" w14:textId="77777777" w:rsidTr="00853155">
        <w:tc>
          <w:tcPr>
            <w:tcW w:w="4698" w:type="dxa"/>
            <w:vAlign w:val="center"/>
          </w:tcPr>
          <w:p w14:paraId="357A3380" w14:textId="0AED657D" w:rsidR="00B902B9" w:rsidRPr="002329BF" w:rsidRDefault="00000000" w:rsidP="00853155">
            <w:pPr>
              <w:rPr>
                <w:rFonts w:eastAsiaTheme="minorEastAsi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=s</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s</m:t>
                    </m:r>
                  </m:e>
                </m:acc>
                <m:acc>
                  <m:accPr>
                    <m:chr m:val="̈"/>
                    <m:ctrlPr>
                      <w:rPr>
                        <w:rFonts w:ascii="Cambria Math" w:hAnsi="Cambria Math"/>
                        <w:i/>
                      </w:rPr>
                    </m:ctrlPr>
                  </m:accPr>
                  <m:e>
                    <m:r>
                      <w:rPr>
                        <w:rFonts w:ascii="Cambria Math" w:hAnsi="Cambria Math"/>
                      </w:rPr>
                      <m:t>s</m:t>
                    </m:r>
                  </m:e>
                </m:acc>
                <m:r>
                  <w:rPr>
                    <w:rFonts w:ascii="Cambria Math" w:hAnsi="Cambria Math"/>
                  </w:rPr>
                  <m:t>=s</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s</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u</m:t>
                        </m:r>
                      </m:sub>
                    </m:sSub>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+δsgn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sup>
                            <m:r>
                              <w:rPr>
                                <w:rFonts w:ascii="Cambria Math" w:eastAsiaTheme="minorEastAsia" w:hAnsi="Cambria Math"/>
                              </w:rPr>
                              <m:t>α</m:t>
                            </m:r>
                          </m:sup>
                        </m:sSup>
                        <m:r>
                          <w:rPr>
                            <w:rFonts w:ascii="Cambria Math" w:eastAsiaTheme="minorEastAsia" w:hAnsi="Cambria Math"/>
                          </w:rPr>
                          <m:t>sgn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d>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u</m:t>
                            </m:r>
                          </m:sub>
                        </m:sSub>
                      </m:e>
                    </m:d>
                    <m:r>
                      <w:rPr>
                        <w:rFonts w:ascii="Cambria Math" w:hAnsi="Cambria Math"/>
                      </w:rPr>
                      <m:t>-δ</m:t>
                    </m:r>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sup>
                    <m:r>
                      <w:rPr>
                        <w:rFonts w:ascii="Cambria Math" w:eastAsiaTheme="minorEastAsia" w:hAnsi="Cambria Math"/>
                      </w:rPr>
                      <m:t>α+1</m:t>
                    </m:r>
                  </m:sup>
                </m:s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e>
                  <m:sup>
                    <m:r>
                      <w:rPr>
                        <w:rFonts w:ascii="Cambria Math" w:eastAsiaTheme="minorEastAsia" w:hAnsi="Cambria Math"/>
                      </w:rPr>
                      <m:t>α+1</m:t>
                    </m:r>
                  </m:sup>
                </m:sSup>
              </m:oMath>
            </m:oMathPara>
          </w:p>
        </w:tc>
        <w:tc>
          <w:tcPr>
            <w:tcW w:w="450" w:type="dxa"/>
            <w:vAlign w:val="center"/>
          </w:tcPr>
          <w:p w14:paraId="2C168F0A" w14:textId="4AD24B6A" w:rsidR="00B902B9" w:rsidRDefault="00B902B9" w:rsidP="00853155">
            <w:pPr>
              <w:pStyle w:val="BodyText"/>
              <w:ind w:firstLine="0"/>
              <w:jc w:val="center"/>
            </w:pPr>
            <w:r>
              <w:t>(2</w:t>
            </w:r>
            <w:r w:rsidR="00FA7B35">
              <w:t>1</w:t>
            </w:r>
            <w:r>
              <w:t>)</w:t>
            </w:r>
          </w:p>
        </w:tc>
      </w:tr>
    </w:tbl>
    <w:p w14:paraId="35CA85C2" w14:textId="037631FE" w:rsidR="00B902B9" w:rsidRDefault="00211CC3" w:rsidP="00A9334D">
      <w:pPr>
        <w:pStyle w:val="BodyText"/>
      </w:pPr>
      <w:r>
        <w:lastRenderedPageBreak/>
        <w:t>Due to negativity of the first derivative of Lyapunov function and positivity of Lyapunov function, we can conclude that (21) the trajectory of error will converge to the origin and system is stable.</w:t>
      </w:r>
    </w:p>
    <w:p w14:paraId="4A2F5290" w14:textId="77777777" w:rsidR="00C8392D" w:rsidRDefault="00C8392D">
      <w:pPr>
        <w:pStyle w:val="Heading1"/>
      </w:pPr>
      <w:r>
        <w:t>Conclusion</w:t>
      </w:r>
    </w:p>
    <w:p w14:paraId="147F4784" w14:textId="77777777" w:rsidR="00C8392D" w:rsidRDefault="00C8392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1E74753" w14:textId="77777777" w:rsidR="00C8392D" w:rsidRDefault="00C8392D">
      <w:pPr>
        <w:pStyle w:val="ReferenceHead"/>
      </w:pPr>
      <w:r>
        <w:t>Appendix</w:t>
      </w:r>
    </w:p>
    <w:p w14:paraId="50A83A15" w14:textId="77777777" w:rsidR="00C8392D" w:rsidRDefault="00C8392D" w:rsidP="00C8392D">
      <w:pPr>
        <w:pStyle w:val="Text"/>
      </w:pPr>
      <w:r>
        <w:t>Appendixes should appear before the acknowledgment.</w:t>
      </w:r>
    </w:p>
    <w:p w14:paraId="60C90614" w14:textId="77777777" w:rsidR="00C8392D" w:rsidRDefault="00C8392D">
      <w:pPr>
        <w:pStyle w:val="ReferenceHead"/>
      </w:pPr>
      <w:r>
        <w:t>Acknowledgment</w:t>
      </w:r>
    </w:p>
    <w:p w14:paraId="1AFB0DED" w14:textId="77777777" w:rsidR="00C8392D" w:rsidRDefault="00C8392D">
      <w:pPr>
        <w:pStyle w:val="Text"/>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2C51FCB7" w14:textId="77777777" w:rsidR="00C8392D" w:rsidRDefault="00C8392D">
      <w:pPr>
        <w:pStyle w:val="ReferenceHead"/>
      </w:pPr>
      <w:r>
        <w:t>References</w:t>
      </w:r>
    </w:p>
    <w:p w14:paraId="519B5939" w14:textId="77777777" w:rsidR="00C8392D" w:rsidRPr="007A28F1" w:rsidRDefault="00C8392D" w:rsidP="00C8392D">
      <w:pPr>
        <w:pStyle w:val="References"/>
        <w:numPr>
          <w:ilvl w:val="0"/>
          <w:numId w:val="0"/>
        </w:numPr>
      </w:pPr>
    </w:p>
    <w:sectPr w:rsidR="00C8392D" w:rsidRPr="007A28F1" w:rsidSect="00C8392D">
      <w:headerReference w:type="default" r:id="rId11"/>
      <w:pgSz w:w="11894" w:h="16834" w:code="1"/>
      <w:pgMar w:top="2074" w:right="662" w:bottom="1080" w:left="1080"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rishna Vijayaraghavan" w:date="2022-10-27T11:32:00Z" w:initials="KV">
    <w:p w14:paraId="42E2C086" w14:textId="360CD4ED" w:rsidR="00D43E2A" w:rsidRDefault="00D43E2A">
      <w:pPr>
        <w:pStyle w:val="CommentText"/>
      </w:pPr>
      <w:r>
        <w:rPr>
          <w:rStyle w:val="CommentReference"/>
        </w:rPr>
        <w:annotationRef/>
      </w:r>
      <w:r>
        <w:t xml:space="preserve">Use auto numbered </w:t>
      </w:r>
      <w:proofErr w:type="spellStart"/>
      <w:r>
        <w:t>equn</w:t>
      </w:r>
      <w:proofErr w:type="spellEnd"/>
      <w:r>
        <w:t xml:space="preserve"> – see </w:t>
      </w:r>
      <w:proofErr w:type="gramStart"/>
      <w:r>
        <w:t>other</w:t>
      </w:r>
      <w:proofErr w:type="gramEnd"/>
      <w:r>
        <w:t xml:space="preserve"> document</w:t>
      </w:r>
    </w:p>
  </w:comment>
  <w:comment w:id="2" w:author="Krishna Vijayaraghavan" w:date="2022-10-27T10:05:00Z" w:initials="KV">
    <w:p w14:paraId="45ADF66C" w14:textId="717F5D13" w:rsidR="00223096" w:rsidRDefault="00223096">
      <w:pPr>
        <w:pStyle w:val="CommentText"/>
      </w:pPr>
      <w:r>
        <w:rPr>
          <w:rStyle w:val="CommentReference"/>
        </w:rPr>
        <w:annotationRef/>
      </w:r>
      <w:r>
        <w:t>You still have result becoming imaginary –</w:t>
      </w:r>
    </w:p>
    <w:p w14:paraId="3E228422" w14:textId="77777777" w:rsidR="00223096" w:rsidRDefault="00223096" w:rsidP="00223096">
      <w:pPr>
        <w:pStyle w:val="CommentText"/>
      </w:pPr>
      <w:r w:rsidRPr="00704F61">
        <w:t>(-</w:t>
      </w:r>
      <w:proofErr w:type="gramStart"/>
      <w:r w:rsidRPr="00704F61">
        <w:t>1)^</w:t>
      </w:r>
      <w:proofErr w:type="gramEnd"/>
      <w:r w:rsidRPr="00704F61">
        <w:t>(5/3)</w:t>
      </w:r>
      <w:r>
        <w:t>=</w:t>
      </w:r>
      <w:r w:rsidRPr="00704F61">
        <w:t xml:space="preserve"> 0.5000 - 0.8660i</w:t>
      </w:r>
      <w:r>
        <w:t xml:space="preserve"> is imaginary. You cannot have this (ok we use imaginary number, but not in sliding surface). I will fix p=1</w:t>
      </w:r>
    </w:p>
    <w:p w14:paraId="5BD62EAD" w14:textId="77777777" w:rsidR="00223096" w:rsidRDefault="00223096">
      <w:pPr>
        <w:pStyle w:val="CommentText"/>
      </w:pPr>
    </w:p>
    <w:p w14:paraId="37691029" w14:textId="73A9E269" w:rsidR="00223096" w:rsidRDefault="00223096">
      <w:pPr>
        <w:pStyle w:val="CommentText"/>
      </w:pPr>
      <w:r>
        <w:t>You may need to define this as sign(e)*|e|^(q/p)</w:t>
      </w:r>
    </w:p>
  </w:comment>
  <w:comment w:id="3" w:author="Krishna Vijayaraghavan" w:date="2022-10-27T10:03:00Z" w:initials="KV">
    <w:p w14:paraId="2FE89F75" w14:textId="1A44BA0C" w:rsidR="00223096" w:rsidRDefault="00223096">
      <w:pPr>
        <w:pStyle w:val="CommentText"/>
      </w:pPr>
      <w:r>
        <w:rPr>
          <w:rStyle w:val="CommentReference"/>
        </w:rPr>
        <w:annotationRef/>
      </w:r>
      <w:r>
        <w:t>This control is fine, but difficult to implement.</w:t>
      </w:r>
    </w:p>
    <w:p w14:paraId="3A98C105" w14:textId="77777777" w:rsidR="00223096" w:rsidRDefault="00223096">
      <w:pPr>
        <w:pStyle w:val="CommentText"/>
      </w:pPr>
      <w:r>
        <w:t xml:space="preserve">Normally sliding mode control uses u=k*sign(s). We would make k very large, which will force system to converge to s=0. </w:t>
      </w:r>
    </w:p>
    <w:p w14:paraId="32B2F96B" w14:textId="77777777" w:rsidR="00FD2E81" w:rsidRDefault="00FD2E81">
      <w:pPr>
        <w:pStyle w:val="CommentText"/>
      </w:pPr>
    </w:p>
    <w:p w14:paraId="49388B3D" w14:textId="1CAC5E04" w:rsidR="00FD2E81" w:rsidRDefault="00FD2E81">
      <w:pPr>
        <w:pStyle w:val="CommentText"/>
      </w:pPr>
      <w:r>
        <w:t>Please look into this</w:t>
      </w:r>
    </w:p>
  </w:comment>
  <w:comment w:id="4" w:author="Krishna Vijayaraghavan" w:date="2022-10-27T09:54:00Z" w:initials="KV">
    <w:p w14:paraId="59A2D266" w14:textId="77777777" w:rsidR="00223096" w:rsidRDefault="00223096">
      <w:pPr>
        <w:pStyle w:val="CommentText"/>
      </w:pPr>
      <w:r>
        <w:rPr>
          <w:rStyle w:val="CommentReference"/>
        </w:rPr>
        <w:annotationRef/>
      </w:r>
      <w:r>
        <w:t xml:space="preserve">This is better. </w:t>
      </w:r>
      <w:proofErr w:type="gramStart"/>
      <w:r>
        <w:t>However</w:t>
      </w:r>
      <w:proofErr w:type="gramEnd"/>
      <w:r>
        <w:t xml:space="preserve"> you haven’t technically shown </w:t>
      </w:r>
      <m:oMath>
        <m:r>
          <w:rPr>
            <w:rFonts w:ascii="Cambria Math" w:hAnsi="Cambria Math"/>
          </w:rPr>
          <m:t>e→0</m:t>
        </m:r>
      </m:oMath>
      <w:r>
        <w:t xml:space="preserve">. You have only shown that </w:t>
      </w:r>
      <m:oMath>
        <m:r>
          <w:rPr>
            <w:rFonts w:ascii="Cambria Math" w:hAnsi="Cambria Math"/>
          </w:rPr>
          <m:t>s→0</m:t>
        </m:r>
      </m:oMath>
      <w:r>
        <w:t>. You need to show that when s=0.</w:t>
      </w:r>
    </w:p>
    <w:p w14:paraId="35CD8853" w14:textId="77777777" w:rsidR="00223096" w:rsidRDefault="00223096">
      <w:pPr>
        <w:pStyle w:val="CommentText"/>
      </w:pPr>
    </w:p>
    <w:p w14:paraId="6D8EEB85" w14:textId="1EEE44AE" w:rsidR="00223096" w:rsidRDefault="00223096">
      <w:pPr>
        <w:pStyle w:val="CommentText"/>
      </w:pPr>
      <w:r>
        <w:t xml:space="preserve">This is where you need to use the results from the </w:t>
      </w:r>
    </w:p>
    <w:p w14:paraId="2C58C378" w14:textId="0C3CE948" w:rsidR="00223096" w:rsidRDefault="00223096">
      <w:pPr>
        <w:pStyle w:val="CommentText"/>
      </w:pPr>
      <w:r>
        <w:t xml:space="preserve">other paper. </w:t>
      </w:r>
      <w:proofErr w:type="gramStart"/>
      <w:r>
        <w:t>However</w:t>
      </w:r>
      <w:proofErr w:type="gramEnd"/>
      <w:r>
        <w:t xml:space="preserve"> that only showed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&lt;0 </m:t>
        </m:r>
      </m:oMath>
      <w:r>
        <w:t xml:space="preserve"> when </w:t>
      </w:r>
      <m:oMath>
        <m:acc>
          <m:accPr>
            <m:chr m:val="̇"/>
            <m:ctrlPr>
              <w:rPr>
                <w:rFonts w:ascii="Cambria Math" w:hAnsi="Cambria Math"/>
                <w:i/>
              </w:rPr>
            </m:ctrlPr>
          </m:accPr>
          <m:e>
            <m:r>
              <w:rPr>
                <w:rFonts w:ascii="Cambria Math" w:hAnsi="Cambria Math"/>
              </w:rPr>
              <m:t>e</m:t>
            </m:r>
          </m:e>
        </m:acc>
        <m:r>
          <w:rPr>
            <w:rFonts w:ascii="Cambria Math" w:hAnsi="Cambria Math"/>
          </w:rPr>
          <m:t>≠0</m:t>
        </m:r>
      </m:oMath>
      <w:r>
        <w:t xml:space="preserve">. </w:t>
      </w:r>
      <w:proofErr w:type="spellStart"/>
      <w:r>
        <w:t>Im</w:t>
      </w:r>
      <w:proofErr w:type="spellEnd"/>
      <w:r>
        <w:t xml:space="preserve"> not saying you should remove this part </w:t>
      </w:r>
      <w:r>
        <w:sym w:font="Wingdings" w:char="F0E0"/>
      </w:r>
      <w:r>
        <w:t xml:space="preserve"> this part is </w:t>
      </w:r>
      <w:proofErr w:type="gramStart"/>
      <w:r>
        <w:t>needed,</w:t>
      </w:r>
      <w:proofErr w:type="gramEnd"/>
      <w:r>
        <w:t xml:space="preserve"> however it still doesn’t fully show stability. </w:t>
      </w:r>
    </w:p>
    <w:p w14:paraId="634C5CDE" w14:textId="77777777" w:rsidR="00223096" w:rsidRDefault="00223096">
      <w:pPr>
        <w:pStyle w:val="CommentText"/>
      </w:pPr>
    </w:p>
    <w:p w14:paraId="7A402038" w14:textId="56B2AD33" w:rsidR="00D12B45" w:rsidRDefault="00D12B45">
      <w:pPr>
        <w:pStyle w:val="CommentText"/>
      </w:pPr>
      <w:r>
        <w:t xml:space="preserve">I guess, you need to argue that if </w:t>
      </w:r>
      <m:oMath>
        <m:r>
          <w:rPr>
            <w:rFonts w:ascii="Cambria Math" w:hAnsi="Cambria Math"/>
          </w:rPr>
          <m:t>e≠0</m:t>
        </m:r>
      </m:oMath>
      <w:r>
        <w:t>,</w:t>
      </w:r>
      <m:oMath>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q/</m:t>
                </m:r>
                <m:r>
                  <m:rPr>
                    <m:sty m:val="p"/>
                  </m:rPr>
                  <w:rPr>
                    <w:rStyle w:val="CommentReference"/>
                  </w:rPr>
                  <w:annotationRef/>
                </m:r>
                <m:r>
                  <w:rPr>
                    <w:rFonts w:ascii="Cambria Math" w:hAnsi="Cambria Math"/>
                  </w:rPr>
                  <m:t>p</m:t>
                </m:r>
              </m:sup>
            </m:sSup>
            <m:r>
              <w:rPr>
                <w:rFonts w:ascii="Cambria Math" w:hAnsi="Cambria Math"/>
              </w:rPr>
              <m:t>dt</m:t>
            </m:r>
          </m:e>
        </m:nary>
        <m:r>
          <w:rPr>
            <w:rFonts w:ascii="Cambria Math" w:hAnsi="Cambria Math"/>
          </w:rPr>
          <m:t>≠0</m:t>
        </m:r>
      </m:oMath>
      <w:r>
        <w:t xml:space="preserve">, which will change e (making </w:t>
      </w:r>
      <m:oMath>
        <m:acc>
          <m:accPr>
            <m:chr m:val="̇"/>
            <m:ctrlPr>
              <w:rPr>
                <w:rFonts w:ascii="Cambria Math" w:hAnsi="Cambria Math"/>
                <w:i/>
              </w:rPr>
            </m:ctrlPr>
          </m:accPr>
          <m:e>
            <m:r>
              <w:rPr>
                <w:rFonts w:ascii="Cambria Math" w:hAnsi="Cambria Math"/>
              </w:rPr>
              <m:t>e</m:t>
            </m:r>
          </m:e>
        </m:acc>
        <m:r>
          <w:rPr>
            <w:rFonts w:ascii="Cambria Math" w:hAnsi="Cambria Math"/>
          </w:rPr>
          <m:t>≠0)</m:t>
        </m:r>
      </m:oMath>
      <w:r>
        <w:t xml:space="preserve">. Hence the only possible solution is for </w:t>
      </w:r>
      <m:oMath>
        <m:r>
          <w:rPr>
            <w:rFonts w:ascii="Cambria Math" w:hAnsi="Cambria Math"/>
          </w:rPr>
          <m:t>e=0</m:t>
        </m:r>
      </m:oMath>
    </w:p>
  </w:comment>
  <w:comment w:id="6" w:author="Krishna Vijayaraghavan" w:date="2022-10-27T13:29:00Z" w:initials="KV">
    <w:p w14:paraId="270616F7" w14:textId="77777777" w:rsidR="00A6550C" w:rsidRDefault="00A6550C">
      <w:pPr>
        <w:pStyle w:val="CommentText"/>
      </w:pPr>
      <w:r>
        <w:rPr>
          <w:rStyle w:val="CommentReference"/>
        </w:rPr>
        <w:annotationRef/>
      </w:r>
      <w:proofErr w:type="spellStart"/>
      <w:r>
        <w:t>Im</w:t>
      </w:r>
      <w:proofErr w:type="spellEnd"/>
      <w:r>
        <w:t xml:space="preserve"> not sure what you are trying to do below</w:t>
      </w:r>
      <w:r w:rsidR="007E2AEB">
        <w:t>.</w:t>
      </w:r>
    </w:p>
    <w:p w14:paraId="6BE2E670" w14:textId="77777777" w:rsidR="007E2AEB" w:rsidRDefault="007E2AEB">
      <w:pPr>
        <w:pStyle w:val="CommentText"/>
      </w:pPr>
    </w:p>
    <w:p w14:paraId="344BFE3B" w14:textId="364D679D" w:rsidR="007E2AEB" w:rsidRDefault="007E2AEB">
      <w:pPr>
        <w:pStyle w:val="CommentText"/>
      </w:pPr>
      <w:r>
        <w:t>Can you add a couple of lines explaining what you want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2C086" w15:done="0"/>
  <w15:commentEx w15:paraId="37691029" w15:done="0"/>
  <w15:commentEx w15:paraId="49388B3D" w15:done="0"/>
  <w15:commentEx w15:paraId="7A402038" w15:done="0"/>
  <w15:commentEx w15:paraId="344BFE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2C086" w16cid:durableId="27056F6C"/>
  <w16cid:commentId w16cid:paraId="37691029" w16cid:durableId="27056F6D"/>
  <w16cid:commentId w16cid:paraId="49388B3D" w16cid:durableId="27056F6E"/>
  <w16cid:commentId w16cid:paraId="7A402038" w16cid:durableId="2704D3DA"/>
  <w16cid:commentId w16cid:paraId="344BFE3B" w16cid:durableId="27050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CF8C8" w14:textId="77777777" w:rsidR="0090799F" w:rsidRDefault="0090799F">
      <w:r>
        <w:separator/>
      </w:r>
    </w:p>
  </w:endnote>
  <w:endnote w:type="continuationSeparator" w:id="0">
    <w:p w14:paraId="094F13FB" w14:textId="77777777" w:rsidR="0090799F" w:rsidRDefault="0090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8007" w14:textId="77777777" w:rsidR="0090799F" w:rsidRDefault="0090799F"/>
  </w:footnote>
  <w:footnote w:type="continuationSeparator" w:id="0">
    <w:p w14:paraId="2822C40A" w14:textId="77777777" w:rsidR="0090799F" w:rsidRDefault="0090799F">
      <w:r>
        <w:continuationSeparator/>
      </w:r>
    </w:p>
  </w:footnote>
  <w:footnote w:id="1">
    <w:p w14:paraId="3EF3888B" w14:textId="77777777" w:rsidR="00223096" w:rsidRDefault="00223096">
      <w:pPr>
        <w:pStyle w:val="FootnoteText"/>
      </w:pPr>
      <w:r w:rsidRPr="00F81836">
        <w:rPr>
          <w:rStyle w:val="FootnoteReference"/>
        </w:rPr>
        <w:t>*</w:t>
      </w:r>
      <w:r>
        <w:t>Resrach supported by ABC Foundation.</w:t>
      </w:r>
    </w:p>
    <w:p w14:paraId="1FCA0E3F" w14:textId="77777777" w:rsidR="00223096" w:rsidRDefault="00223096">
      <w:pPr>
        <w:pStyle w:val="FootnoteText"/>
      </w:pPr>
      <w:r>
        <w:t xml:space="preserve">F. A. Author is with the National Institute of Standards and Technology, Boulder, CO 80305 USA (corresponding author to provide phone: 303-555-5555; fax: 303-555-5555; e-mail: author@ boulder.nist.gov). </w:t>
      </w:r>
    </w:p>
    <w:p w14:paraId="259140E2" w14:textId="77777777" w:rsidR="00223096" w:rsidRDefault="00223096">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5072E834" w14:textId="77777777" w:rsidR="00223096" w:rsidRDefault="00223096">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66A0D" w14:textId="77777777" w:rsidR="00223096" w:rsidRDefault="00223096">
    <w:pPr>
      <w:framePr w:wrap="auto" w:vAnchor="text" w:hAnchor="margin" w:xAlign="right" w:y="1"/>
    </w:pPr>
  </w:p>
  <w:p w14:paraId="394F67BD" w14:textId="77777777" w:rsidR="00223096" w:rsidRDefault="00223096"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34782453">
    <w:abstractNumId w:val="0"/>
  </w:num>
  <w:num w:numId="2" w16cid:durableId="804007906">
    <w:abstractNumId w:val="4"/>
  </w:num>
  <w:num w:numId="3" w16cid:durableId="1403408694">
    <w:abstractNumId w:val="4"/>
    <w:lvlOverride w:ilvl="0">
      <w:lvl w:ilvl="0">
        <w:start w:val="1"/>
        <w:numFmt w:val="decimal"/>
        <w:lvlText w:val="%1."/>
        <w:legacy w:legacy="1" w:legacySpace="0" w:legacyIndent="360"/>
        <w:lvlJc w:val="left"/>
        <w:pPr>
          <w:ind w:left="360" w:hanging="360"/>
        </w:pPr>
      </w:lvl>
    </w:lvlOverride>
  </w:num>
  <w:num w:numId="4" w16cid:durableId="402993444">
    <w:abstractNumId w:val="4"/>
    <w:lvlOverride w:ilvl="0">
      <w:lvl w:ilvl="0">
        <w:start w:val="1"/>
        <w:numFmt w:val="decimal"/>
        <w:lvlText w:val="%1."/>
        <w:legacy w:legacy="1" w:legacySpace="0" w:legacyIndent="360"/>
        <w:lvlJc w:val="left"/>
        <w:pPr>
          <w:ind w:left="360" w:hanging="360"/>
        </w:pPr>
      </w:lvl>
    </w:lvlOverride>
  </w:num>
  <w:num w:numId="5" w16cid:durableId="1983388949">
    <w:abstractNumId w:val="4"/>
    <w:lvlOverride w:ilvl="0">
      <w:lvl w:ilvl="0">
        <w:start w:val="1"/>
        <w:numFmt w:val="decimal"/>
        <w:lvlText w:val="%1."/>
        <w:legacy w:legacy="1" w:legacySpace="0" w:legacyIndent="360"/>
        <w:lvlJc w:val="left"/>
        <w:pPr>
          <w:ind w:left="360" w:hanging="360"/>
        </w:pPr>
      </w:lvl>
    </w:lvlOverride>
  </w:num>
  <w:num w:numId="6" w16cid:durableId="787356028">
    <w:abstractNumId w:val="8"/>
  </w:num>
  <w:num w:numId="7" w16cid:durableId="1185052904">
    <w:abstractNumId w:val="8"/>
    <w:lvlOverride w:ilvl="0">
      <w:lvl w:ilvl="0">
        <w:start w:val="1"/>
        <w:numFmt w:val="decimal"/>
        <w:lvlText w:val="%1."/>
        <w:legacy w:legacy="1" w:legacySpace="0" w:legacyIndent="360"/>
        <w:lvlJc w:val="left"/>
        <w:pPr>
          <w:ind w:left="360" w:hanging="360"/>
        </w:pPr>
      </w:lvl>
    </w:lvlOverride>
  </w:num>
  <w:num w:numId="8" w16cid:durableId="1972587831">
    <w:abstractNumId w:val="8"/>
    <w:lvlOverride w:ilvl="0">
      <w:lvl w:ilvl="0">
        <w:start w:val="1"/>
        <w:numFmt w:val="decimal"/>
        <w:lvlText w:val="%1."/>
        <w:legacy w:legacy="1" w:legacySpace="0" w:legacyIndent="360"/>
        <w:lvlJc w:val="left"/>
        <w:pPr>
          <w:ind w:left="360" w:hanging="360"/>
        </w:pPr>
      </w:lvl>
    </w:lvlOverride>
  </w:num>
  <w:num w:numId="9" w16cid:durableId="1676834154">
    <w:abstractNumId w:val="8"/>
    <w:lvlOverride w:ilvl="0">
      <w:lvl w:ilvl="0">
        <w:start w:val="1"/>
        <w:numFmt w:val="decimal"/>
        <w:lvlText w:val="%1."/>
        <w:legacy w:legacy="1" w:legacySpace="0" w:legacyIndent="360"/>
        <w:lvlJc w:val="left"/>
        <w:pPr>
          <w:ind w:left="360" w:hanging="360"/>
        </w:pPr>
      </w:lvl>
    </w:lvlOverride>
  </w:num>
  <w:num w:numId="10" w16cid:durableId="556356510">
    <w:abstractNumId w:val="8"/>
    <w:lvlOverride w:ilvl="0">
      <w:lvl w:ilvl="0">
        <w:start w:val="1"/>
        <w:numFmt w:val="decimal"/>
        <w:lvlText w:val="%1."/>
        <w:legacy w:legacy="1" w:legacySpace="0" w:legacyIndent="360"/>
        <w:lvlJc w:val="left"/>
        <w:pPr>
          <w:ind w:left="360" w:hanging="360"/>
        </w:pPr>
      </w:lvl>
    </w:lvlOverride>
  </w:num>
  <w:num w:numId="11" w16cid:durableId="1668442886">
    <w:abstractNumId w:val="8"/>
    <w:lvlOverride w:ilvl="0">
      <w:lvl w:ilvl="0">
        <w:start w:val="1"/>
        <w:numFmt w:val="decimal"/>
        <w:lvlText w:val="%1."/>
        <w:legacy w:legacy="1" w:legacySpace="0" w:legacyIndent="360"/>
        <w:lvlJc w:val="left"/>
        <w:pPr>
          <w:ind w:left="360" w:hanging="360"/>
        </w:pPr>
      </w:lvl>
    </w:lvlOverride>
  </w:num>
  <w:num w:numId="12" w16cid:durableId="31729557">
    <w:abstractNumId w:val="6"/>
  </w:num>
  <w:num w:numId="13" w16cid:durableId="702170225">
    <w:abstractNumId w:val="1"/>
  </w:num>
  <w:num w:numId="14" w16cid:durableId="1686907717">
    <w:abstractNumId w:val="10"/>
  </w:num>
  <w:num w:numId="15" w16cid:durableId="1109618897">
    <w:abstractNumId w:val="9"/>
  </w:num>
  <w:num w:numId="16" w16cid:durableId="1867521316">
    <w:abstractNumId w:val="14"/>
  </w:num>
  <w:num w:numId="17" w16cid:durableId="10617088">
    <w:abstractNumId w:val="3"/>
  </w:num>
  <w:num w:numId="18" w16cid:durableId="1874033752">
    <w:abstractNumId w:val="2"/>
  </w:num>
  <w:num w:numId="19" w16cid:durableId="276452547">
    <w:abstractNumId w:val="13"/>
  </w:num>
  <w:num w:numId="20" w16cid:durableId="1445225816">
    <w:abstractNumId w:val="7"/>
  </w:num>
  <w:num w:numId="21" w16cid:durableId="572355186">
    <w:abstractNumId w:val="5"/>
  </w:num>
  <w:num w:numId="22" w16cid:durableId="626278758">
    <w:abstractNumId w:val="11"/>
  </w:num>
  <w:num w:numId="23" w16cid:durableId="22441749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hna Vijayaraghavan">
    <w15:presenceInfo w15:providerId="AD" w15:userId="S-1-5-21-3275671095-1950649569-3952301132-190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MwYiC1MDC0NzUyUdpeDU4uLM/DyQAstaAKOVzWUsAAAA"/>
  </w:docVars>
  <w:rsids>
    <w:rsidRoot w:val="007A28F1"/>
    <w:rsid w:val="00020B9E"/>
    <w:rsid w:val="00040C6A"/>
    <w:rsid w:val="00053915"/>
    <w:rsid w:val="00057E66"/>
    <w:rsid w:val="00087B65"/>
    <w:rsid w:val="001133CC"/>
    <w:rsid w:val="001411E2"/>
    <w:rsid w:val="001522D4"/>
    <w:rsid w:val="001952B2"/>
    <w:rsid w:val="00211CC3"/>
    <w:rsid w:val="00223096"/>
    <w:rsid w:val="002329BF"/>
    <w:rsid w:val="0023495A"/>
    <w:rsid w:val="00234977"/>
    <w:rsid w:val="00235A9E"/>
    <w:rsid w:val="00237916"/>
    <w:rsid w:val="00242173"/>
    <w:rsid w:val="002A1CAD"/>
    <w:rsid w:val="002B7C4B"/>
    <w:rsid w:val="002C45EE"/>
    <w:rsid w:val="00350F72"/>
    <w:rsid w:val="00351841"/>
    <w:rsid w:val="003B240D"/>
    <w:rsid w:val="003B4325"/>
    <w:rsid w:val="003D3033"/>
    <w:rsid w:val="00411AEE"/>
    <w:rsid w:val="00442A9C"/>
    <w:rsid w:val="00453D59"/>
    <w:rsid w:val="004568EC"/>
    <w:rsid w:val="00457F9E"/>
    <w:rsid w:val="00495EAB"/>
    <w:rsid w:val="004C36FE"/>
    <w:rsid w:val="004E15FF"/>
    <w:rsid w:val="004E57E7"/>
    <w:rsid w:val="004E6F63"/>
    <w:rsid w:val="00504F5D"/>
    <w:rsid w:val="005378A9"/>
    <w:rsid w:val="005777C7"/>
    <w:rsid w:val="0058010D"/>
    <w:rsid w:val="005877EE"/>
    <w:rsid w:val="005B3D2A"/>
    <w:rsid w:val="005C600C"/>
    <w:rsid w:val="005D6317"/>
    <w:rsid w:val="00621AE2"/>
    <w:rsid w:val="006233E5"/>
    <w:rsid w:val="0063367F"/>
    <w:rsid w:val="0064774D"/>
    <w:rsid w:val="0066004F"/>
    <w:rsid w:val="0066087C"/>
    <w:rsid w:val="00690347"/>
    <w:rsid w:val="00691725"/>
    <w:rsid w:val="00696A7D"/>
    <w:rsid w:val="006C6540"/>
    <w:rsid w:val="00704F61"/>
    <w:rsid w:val="007062E3"/>
    <w:rsid w:val="00740304"/>
    <w:rsid w:val="0074318D"/>
    <w:rsid w:val="00760453"/>
    <w:rsid w:val="00780B52"/>
    <w:rsid w:val="00786493"/>
    <w:rsid w:val="007A28F1"/>
    <w:rsid w:val="007E2AEB"/>
    <w:rsid w:val="00807CCD"/>
    <w:rsid w:val="00813B4A"/>
    <w:rsid w:val="00853155"/>
    <w:rsid w:val="008C3972"/>
    <w:rsid w:val="008D4A39"/>
    <w:rsid w:val="008D781F"/>
    <w:rsid w:val="008E692C"/>
    <w:rsid w:val="008F78B9"/>
    <w:rsid w:val="0090799F"/>
    <w:rsid w:val="009448AC"/>
    <w:rsid w:val="00947911"/>
    <w:rsid w:val="009565BE"/>
    <w:rsid w:val="00964091"/>
    <w:rsid w:val="00974D7D"/>
    <w:rsid w:val="009832BF"/>
    <w:rsid w:val="009B0A7F"/>
    <w:rsid w:val="009D23DF"/>
    <w:rsid w:val="009E4555"/>
    <w:rsid w:val="00A37AFB"/>
    <w:rsid w:val="00A43FD8"/>
    <w:rsid w:val="00A6550C"/>
    <w:rsid w:val="00A81363"/>
    <w:rsid w:val="00A9334D"/>
    <w:rsid w:val="00A93AF8"/>
    <w:rsid w:val="00AB08A0"/>
    <w:rsid w:val="00B00A07"/>
    <w:rsid w:val="00B02E56"/>
    <w:rsid w:val="00B14952"/>
    <w:rsid w:val="00B237AC"/>
    <w:rsid w:val="00B902B9"/>
    <w:rsid w:val="00BA0119"/>
    <w:rsid w:val="00BD1C06"/>
    <w:rsid w:val="00BF1EAB"/>
    <w:rsid w:val="00C03442"/>
    <w:rsid w:val="00C33A21"/>
    <w:rsid w:val="00C8392D"/>
    <w:rsid w:val="00C94CBA"/>
    <w:rsid w:val="00CB42CB"/>
    <w:rsid w:val="00CC2B1F"/>
    <w:rsid w:val="00CD4747"/>
    <w:rsid w:val="00CE387B"/>
    <w:rsid w:val="00D1049B"/>
    <w:rsid w:val="00D12B45"/>
    <w:rsid w:val="00D14266"/>
    <w:rsid w:val="00D43E2A"/>
    <w:rsid w:val="00D56A03"/>
    <w:rsid w:val="00D643BC"/>
    <w:rsid w:val="00D66F25"/>
    <w:rsid w:val="00DA08A9"/>
    <w:rsid w:val="00DA5651"/>
    <w:rsid w:val="00DC53EF"/>
    <w:rsid w:val="00DC6F5D"/>
    <w:rsid w:val="00DD4DD1"/>
    <w:rsid w:val="00DD7731"/>
    <w:rsid w:val="00DE1ACC"/>
    <w:rsid w:val="00DE416E"/>
    <w:rsid w:val="00DF0AB5"/>
    <w:rsid w:val="00DF107D"/>
    <w:rsid w:val="00DF500A"/>
    <w:rsid w:val="00E16E3C"/>
    <w:rsid w:val="00E55D69"/>
    <w:rsid w:val="00E672DC"/>
    <w:rsid w:val="00E814C3"/>
    <w:rsid w:val="00E85AE3"/>
    <w:rsid w:val="00ED358E"/>
    <w:rsid w:val="00ED5D73"/>
    <w:rsid w:val="00EE3B56"/>
    <w:rsid w:val="00F5022B"/>
    <w:rsid w:val="00F529E1"/>
    <w:rsid w:val="00F7152B"/>
    <w:rsid w:val="00F72ED9"/>
    <w:rsid w:val="00F81836"/>
    <w:rsid w:val="00F94AF1"/>
    <w:rsid w:val="00FA621E"/>
    <w:rsid w:val="00FA7B35"/>
    <w:rsid w:val="00FB3116"/>
    <w:rsid w:val="00FD2E81"/>
  </w:rsids>
  <m:mathPr>
    <m:mathFont m:val="Cambria Math"/>
    <m:brkBin m:val="before"/>
    <m:brkBinSub m:val="--"/>
    <m:smallFrac m:val="0"/>
    <m:dispDef m:val="0"/>
    <m:lMargin m:val="0"/>
    <m:rMargin m:val="0"/>
    <m:defJc m:val="centerGroup"/>
    <m:wrapRight/>
    <m:intLim m:val="subSup"/>
    <m:naryLim m:val="subSup"/>
  </m:mathPr>
  <w:themeFontLang w:val="en-US"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860952"/>
  <w15:docId w15:val="{823A3325-0D3F-464F-AC4C-B88F4046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bidi="ar-SA"/>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bidi="ar-SA"/>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bidi="ar-SA"/>
    </w:rPr>
  </w:style>
  <w:style w:type="paragraph" w:customStyle="1" w:styleId="papersubtitle">
    <w:name w:val="paper subtitle"/>
    <w:rsid w:val="007A28F1"/>
    <w:pPr>
      <w:spacing w:after="120"/>
      <w:jc w:val="center"/>
    </w:pPr>
    <w:rPr>
      <w:rFonts w:eastAsia="MS Mincho"/>
      <w:noProof/>
      <w:sz w:val="28"/>
      <w:szCs w:val="28"/>
      <w:lang w:bidi="ar-SA"/>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bidi="ar-SA"/>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bidi="ar-SA"/>
    </w:rPr>
  </w:style>
  <w:style w:type="paragraph" w:customStyle="1" w:styleId="tablefootnote">
    <w:name w:val="table footnote"/>
    <w:rsid w:val="007A28F1"/>
    <w:pPr>
      <w:spacing w:before="60" w:after="30"/>
      <w:jc w:val="right"/>
    </w:pPr>
    <w:rPr>
      <w:rFonts w:eastAsia="SimSun"/>
      <w:sz w:val="12"/>
      <w:szCs w:val="12"/>
      <w:lang w:bidi="ar-SA"/>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bidi="ar-SA"/>
    </w:rPr>
  </w:style>
  <w:style w:type="character" w:styleId="EndnoteReference">
    <w:name w:val="endnote reference"/>
    <w:rsid w:val="00F81836"/>
    <w:rPr>
      <w:vertAlign w:val="superscript"/>
    </w:rPr>
  </w:style>
  <w:style w:type="table" w:styleId="TableGrid">
    <w:name w:val="Table Grid"/>
    <w:basedOn w:val="TableNormal"/>
    <w:rsid w:val="00A37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DF107D"/>
    <w:rPr>
      <w:color w:val="808080"/>
    </w:rPr>
  </w:style>
  <w:style w:type="character" w:styleId="CommentReference">
    <w:name w:val="annotation reference"/>
    <w:basedOn w:val="DefaultParagraphFont"/>
    <w:rsid w:val="00235A9E"/>
    <w:rPr>
      <w:sz w:val="16"/>
      <w:szCs w:val="16"/>
    </w:rPr>
  </w:style>
  <w:style w:type="paragraph" w:styleId="CommentText">
    <w:name w:val="annotation text"/>
    <w:basedOn w:val="Normal"/>
    <w:link w:val="CommentTextChar"/>
    <w:rsid w:val="00235A9E"/>
  </w:style>
  <w:style w:type="character" w:customStyle="1" w:styleId="CommentTextChar">
    <w:name w:val="Comment Text Char"/>
    <w:basedOn w:val="DefaultParagraphFont"/>
    <w:link w:val="CommentText"/>
    <w:rsid w:val="00235A9E"/>
    <w:rPr>
      <w:lang w:bidi="ar-SA"/>
    </w:rPr>
  </w:style>
  <w:style w:type="paragraph" w:styleId="CommentSubject">
    <w:name w:val="annotation subject"/>
    <w:basedOn w:val="CommentText"/>
    <w:next w:val="CommentText"/>
    <w:link w:val="CommentSubjectChar"/>
    <w:rsid w:val="00235A9E"/>
    <w:rPr>
      <w:b/>
      <w:bCs/>
    </w:rPr>
  </w:style>
  <w:style w:type="character" w:customStyle="1" w:styleId="CommentSubjectChar">
    <w:name w:val="Comment Subject Char"/>
    <w:basedOn w:val="CommentTextChar"/>
    <w:link w:val="CommentSubject"/>
    <w:rsid w:val="00235A9E"/>
    <w:rPr>
      <w:b/>
      <w:bCs/>
      <w:lang w:bidi="ar-SA"/>
    </w:rPr>
  </w:style>
  <w:style w:type="paragraph" w:styleId="BalloonText">
    <w:name w:val="Balloon Text"/>
    <w:basedOn w:val="Normal"/>
    <w:link w:val="BalloonTextChar"/>
    <w:rsid w:val="00235A9E"/>
    <w:rPr>
      <w:rFonts w:ascii="Segoe UI" w:hAnsi="Segoe UI" w:cs="Segoe UI"/>
      <w:sz w:val="18"/>
      <w:szCs w:val="18"/>
    </w:rPr>
  </w:style>
  <w:style w:type="character" w:customStyle="1" w:styleId="BalloonTextChar">
    <w:name w:val="Balloon Text Char"/>
    <w:basedOn w:val="DefaultParagraphFont"/>
    <w:link w:val="BalloonText"/>
    <w:rsid w:val="00235A9E"/>
    <w:rPr>
      <w:rFonts w:ascii="Segoe UI" w:hAnsi="Segoe UI" w:cs="Segoe UI"/>
      <w:sz w:val="18"/>
      <w:szCs w:val="18"/>
      <w:lang w:bidi="ar-SA"/>
    </w:rPr>
  </w:style>
  <w:style w:type="paragraph" w:styleId="Revision">
    <w:name w:val="Revision"/>
    <w:hidden/>
    <w:rsid w:val="00C33A21"/>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923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94DE-6293-490A-B760-9756BA84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Alireza Beigi</cp:lastModifiedBy>
  <cp:revision>2</cp:revision>
  <cp:lastPrinted>2012-01-31T08:17:00Z</cp:lastPrinted>
  <dcterms:created xsi:type="dcterms:W3CDTF">2022-11-08T18:18:00Z</dcterms:created>
  <dcterms:modified xsi:type="dcterms:W3CDTF">2022-11-08T18:18:00Z</dcterms:modified>
</cp:coreProperties>
</file>